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7.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4D061" w14:textId="77777777" w:rsidR="0070589C" w:rsidRDefault="0070589C" w:rsidP="0070589C">
      <w:pPr>
        <w:jc w:val="center"/>
        <w:rPr>
          <w:b/>
          <w:sz w:val="56"/>
          <w:szCs w:val="56"/>
        </w:rPr>
      </w:pPr>
      <w:r w:rsidRPr="00962C4F">
        <w:rPr>
          <w:b/>
          <w:sz w:val="56"/>
          <w:szCs w:val="56"/>
        </w:rPr>
        <w:t xml:space="preserve">Environmental Justice:  </w:t>
      </w:r>
    </w:p>
    <w:p w14:paraId="50AAF793" w14:textId="77777777" w:rsidR="0070589C" w:rsidRDefault="0070589C" w:rsidP="0070589C">
      <w:pPr>
        <w:jc w:val="center"/>
        <w:rPr>
          <w:b/>
          <w:sz w:val="56"/>
          <w:szCs w:val="56"/>
        </w:rPr>
      </w:pPr>
      <w:r w:rsidRPr="00962C4F">
        <w:rPr>
          <w:b/>
          <w:sz w:val="56"/>
          <w:szCs w:val="56"/>
        </w:rPr>
        <w:t>Law, Policy &amp; Regulation</w:t>
      </w:r>
    </w:p>
    <w:p w14:paraId="49E8902D" w14:textId="77777777" w:rsidR="0070589C" w:rsidRPr="004C1538" w:rsidRDefault="0070589C" w:rsidP="0070589C">
      <w:pPr>
        <w:jc w:val="center"/>
        <w:rPr>
          <w:b/>
          <w:sz w:val="16"/>
          <w:szCs w:val="16"/>
        </w:rPr>
      </w:pPr>
    </w:p>
    <w:p w14:paraId="79EFFD03" w14:textId="668471D4" w:rsidR="0070589C" w:rsidRDefault="001E20F2" w:rsidP="0070589C">
      <w:pPr>
        <w:jc w:val="center"/>
        <w:rPr>
          <w:b/>
          <w:sz w:val="36"/>
          <w:szCs w:val="36"/>
        </w:rPr>
      </w:pPr>
      <w:r>
        <w:rPr>
          <w:b/>
          <w:sz w:val="36"/>
          <w:szCs w:val="36"/>
        </w:rPr>
        <w:t xml:space="preserve">FOURTH </w:t>
      </w:r>
      <w:r w:rsidR="0070589C" w:rsidRPr="004C1538">
        <w:rPr>
          <w:b/>
          <w:sz w:val="36"/>
          <w:szCs w:val="36"/>
        </w:rPr>
        <w:t>EDITION</w:t>
      </w:r>
    </w:p>
    <w:p w14:paraId="06CA6729" w14:textId="77777777" w:rsidR="0070589C" w:rsidRDefault="0070589C" w:rsidP="0070589C">
      <w:pPr>
        <w:jc w:val="center"/>
        <w:rPr>
          <w:b/>
          <w:sz w:val="36"/>
          <w:szCs w:val="36"/>
        </w:rPr>
      </w:pPr>
    </w:p>
    <w:p w14:paraId="1DE4482B" w14:textId="77777777" w:rsidR="0070589C" w:rsidRPr="009F3C09" w:rsidRDefault="0070589C" w:rsidP="0070589C">
      <w:pPr>
        <w:jc w:val="center"/>
        <w:rPr>
          <w:b/>
          <w:sz w:val="48"/>
          <w:szCs w:val="48"/>
        </w:rPr>
      </w:pPr>
      <w:r w:rsidRPr="009F3C09">
        <w:rPr>
          <w:b/>
          <w:sz w:val="48"/>
          <w:szCs w:val="48"/>
        </w:rPr>
        <w:t>TEACHER’S MANUAL</w:t>
      </w:r>
    </w:p>
    <w:p w14:paraId="59B15CE8" w14:textId="77777777" w:rsidR="0070589C" w:rsidRPr="00962C4F" w:rsidRDefault="0070589C" w:rsidP="0070589C">
      <w:pPr>
        <w:jc w:val="center"/>
        <w:rPr>
          <w:b/>
          <w:sz w:val="20"/>
          <w:szCs w:val="20"/>
        </w:rPr>
      </w:pPr>
    </w:p>
    <w:p w14:paraId="04460E78" w14:textId="602E5732" w:rsidR="0070589C" w:rsidRPr="00962C4F" w:rsidRDefault="0070589C" w:rsidP="0070589C">
      <w:pPr>
        <w:jc w:val="center"/>
        <w:rPr>
          <w:b/>
          <w:sz w:val="28"/>
          <w:szCs w:val="28"/>
        </w:rPr>
      </w:pPr>
      <w:r w:rsidRPr="00962C4F">
        <w:rPr>
          <w:b/>
          <w:sz w:val="28"/>
          <w:szCs w:val="28"/>
        </w:rPr>
        <w:t>Clifford Villa</w:t>
      </w:r>
    </w:p>
    <w:p w14:paraId="0A605FE0" w14:textId="4BFE4E11" w:rsidR="0070589C" w:rsidRPr="004C1538" w:rsidRDefault="0070589C" w:rsidP="0070589C">
      <w:pPr>
        <w:jc w:val="center"/>
        <w:rPr>
          <w:smallCaps/>
          <w:sz w:val="24"/>
          <w:szCs w:val="24"/>
        </w:rPr>
      </w:pPr>
      <w:r w:rsidRPr="004C1538">
        <w:rPr>
          <w:smallCaps/>
          <w:sz w:val="24"/>
          <w:szCs w:val="24"/>
        </w:rPr>
        <w:t>Professor of Law</w:t>
      </w:r>
      <w:r w:rsidR="00D764C5">
        <w:rPr>
          <w:smallCaps/>
          <w:sz w:val="24"/>
          <w:szCs w:val="24"/>
        </w:rPr>
        <w:t xml:space="preserve">, </w:t>
      </w:r>
      <w:r w:rsidRPr="004C1538">
        <w:rPr>
          <w:smallCaps/>
          <w:sz w:val="24"/>
          <w:szCs w:val="24"/>
        </w:rPr>
        <w:t>University of New Mexico</w:t>
      </w:r>
    </w:p>
    <w:p w14:paraId="2E4AD1F8" w14:textId="77777777" w:rsidR="0070589C" w:rsidRPr="004C1538" w:rsidRDefault="0070589C" w:rsidP="0070589C">
      <w:pPr>
        <w:jc w:val="center"/>
        <w:rPr>
          <w:sz w:val="24"/>
          <w:szCs w:val="24"/>
        </w:rPr>
      </w:pPr>
    </w:p>
    <w:p w14:paraId="0765D669" w14:textId="75314446" w:rsidR="0070589C" w:rsidRPr="00962C4F" w:rsidRDefault="0070589C" w:rsidP="0070589C">
      <w:pPr>
        <w:jc w:val="center"/>
        <w:rPr>
          <w:b/>
          <w:sz w:val="28"/>
          <w:szCs w:val="28"/>
        </w:rPr>
      </w:pPr>
      <w:r w:rsidRPr="00962C4F">
        <w:rPr>
          <w:b/>
          <w:sz w:val="28"/>
          <w:szCs w:val="28"/>
        </w:rPr>
        <w:t>Nadia</w:t>
      </w:r>
      <w:r w:rsidR="009A1329">
        <w:rPr>
          <w:b/>
          <w:sz w:val="28"/>
          <w:szCs w:val="28"/>
        </w:rPr>
        <w:t xml:space="preserve"> </w:t>
      </w:r>
      <w:r w:rsidRPr="00962C4F">
        <w:rPr>
          <w:b/>
          <w:sz w:val="28"/>
          <w:szCs w:val="28"/>
        </w:rPr>
        <w:t>Ahmad</w:t>
      </w:r>
    </w:p>
    <w:p w14:paraId="57B1BE3B" w14:textId="3B2DF7EC" w:rsidR="0070589C" w:rsidRPr="004C1538" w:rsidRDefault="0070589C" w:rsidP="0070589C">
      <w:pPr>
        <w:jc w:val="center"/>
        <w:rPr>
          <w:smallCaps/>
          <w:sz w:val="24"/>
          <w:szCs w:val="24"/>
        </w:rPr>
      </w:pPr>
      <w:r w:rsidRPr="004C1538">
        <w:rPr>
          <w:smallCaps/>
          <w:sz w:val="24"/>
          <w:szCs w:val="24"/>
        </w:rPr>
        <w:t>Professor</w:t>
      </w:r>
      <w:r>
        <w:rPr>
          <w:smallCaps/>
          <w:sz w:val="24"/>
          <w:szCs w:val="24"/>
        </w:rPr>
        <w:t xml:space="preserve"> of Law</w:t>
      </w:r>
      <w:r w:rsidR="00D764C5">
        <w:rPr>
          <w:smallCaps/>
          <w:sz w:val="24"/>
          <w:szCs w:val="24"/>
        </w:rPr>
        <w:t xml:space="preserve">, </w:t>
      </w:r>
      <w:r w:rsidRPr="004C1538">
        <w:rPr>
          <w:smallCaps/>
          <w:sz w:val="24"/>
          <w:szCs w:val="24"/>
        </w:rPr>
        <w:t>Barry University</w:t>
      </w:r>
    </w:p>
    <w:p w14:paraId="58DBC07D" w14:textId="77777777" w:rsidR="0070589C" w:rsidRPr="004C1538" w:rsidRDefault="0070589C" w:rsidP="0070589C">
      <w:pPr>
        <w:jc w:val="center"/>
        <w:rPr>
          <w:sz w:val="24"/>
          <w:szCs w:val="24"/>
        </w:rPr>
      </w:pPr>
    </w:p>
    <w:p w14:paraId="63DC1A14" w14:textId="77777777" w:rsidR="001E20F2" w:rsidRPr="00962C4F" w:rsidRDefault="001E20F2" w:rsidP="001E20F2">
      <w:pPr>
        <w:jc w:val="center"/>
        <w:rPr>
          <w:b/>
          <w:sz w:val="28"/>
          <w:szCs w:val="28"/>
        </w:rPr>
      </w:pPr>
      <w:r w:rsidRPr="00962C4F">
        <w:rPr>
          <w:b/>
          <w:sz w:val="28"/>
          <w:szCs w:val="28"/>
        </w:rPr>
        <w:t>Rebecca Bratspies</w:t>
      </w:r>
    </w:p>
    <w:p w14:paraId="0DE16F00" w14:textId="76CABF78" w:rsidR="001E20F2" w:rsidRDefault="001E20F2" w:rsidP="001E20F2">
      <w:pPr>
        <w:jc w:val="center"/>
        <w:rPr>
          <w:smallCaps/>
          <w:sz w:val="24"/>
          <w:szCs w:val="24"/>
        </w:rPr>
      </w:pPr>
      <w:r>
        <w:rPr>
          <w:smallCaps/>
          <w:sz w:val="24"/>
          <w:szCs w:val="24"/>
        </w:rPr>
        <w:t>Oliver Houck Professor of Environmental Law, Tulane Law School</w:t>
      </w:r>
    </w:p>
    <w:p w14:paraId="761095B3" w14:textId="77777777" w:rsidR="001E20F2" w:rsidRDefault="001E20F2" w:rsidP="001E20F2">
      <w:pPr>
        <w:jc w:val="center"/>
        <w:rPr>
          <w:sz w:val="24"/>
          <w:szCs w:val="24"/>
        </w:rPr>
      </w:pPr>
    </w:p>
    <w:p w14:paraId="754BDC40" w14:textId="77777777" w:rsidR="001E20F2" w:rsidRPr="00290A00" w:rsidRDefault="001E20F2" w:rsidP="001E20F2">
      <w:pPr>
        <w:jc w:val="center"/>
        <w:rPr>
          <w:b/>
          <w:bCs/>
          <w:sz w:val="28"/>
          <w:szCs w:val="28"/>
        </w:rPr>
      </w:pPr>
      <w:r w:rsidRPr="00290A00">
        <w:rPr>
          <w:b/>
          <w:bCs/>
          <w:sz w:val="28"/>
          <w:szCs w:val="28"/>
        </w:rPr>
        <w:t>Patrice Simms</w:t>
      </w:r>
    </w:p>
    <w:p w14:paraId="7A4D7690" w14:textId="77777777" w:rsidR="001E20F2" w:rsidRPr="00E912F9" w:rsidRDefault="001E20F2" w:rsidP="001E20F2">
      <w:pPr>
        <w:jc w:val="center"/>
        <w:rPr>
          <w:smallCaps/>
          <w:sz w:val="23"/>
          <w:szCs w:val="23"/>
        </w:rPr>
      </w:pPr>
      <w:r w:rsidRPr="00E912F9">
        <w:rPr>
          <w:smallCaps/>
          <w:sz w:val="23"/>
          <w:szCs w:val="23"/>
        </w:rPr>
        <w:t>Vice President of Litigation for Healthy Communities, Earthjustice / Visiting Professor, Harvard Law School / Co-Founder and Strategic Advisor, Counterstream Media </w:t>
      </w:r>
    </w:p>
    <w:p w14:paraId="08CA6123" w14:textId="77777777" w:rsidR="001E20F2" w:rsidRDefault="001E20F2" w:rsidP="001E20F2">
      <w:pPr>
        <w:jc w:val="center"/>
        <w:rPr>
          <w:sz w:val="24"/>
          <w:szCs w:val="24"/>
        </w:rPr>
      </w:pPr>
    </w:p>
    <w:p w14:paraId="56FD21B4" w14:textId="77777777" w:rsidR="001E20F2" w:rsidRPr="00290A00" w:rsidRDefault="001E20F2" w:rsidP="001E20F2">
      <w:pPr>
        <w:jc w:val="center"/>
        <w:rPr>
          <w:b/>
          <w:bCs/>
          <w:sz w:val="28"/>
          <w:szCs w:val="28"/>
        </w:rPr>
      </w:pPr>
      <w:r w:rsidRPr="00290A00">
        <w:rPr>
          <w:b/>
          <w:bCs/>
          <w:sz w:val="28"/>
          <w:szCs w:val="28"/>
        </w:rPr>
        <w:t>Carlton Waterhouse</w:t>
      </w:r>
    </w:p>
    <w:p w14:paraId="4802D3C0" w14:textId="77777777" w:rsidR="001E20F2" w:rsidRPr="000C7F61" w:rsidRDefault="001E20F2" w:rsidP="001E20F2">
      <w:pPr>
        <w:jc w:val="center"/>
        <w:rPr>
          <w:smallCaps/>
          <w:sz w:val="24"/>
          <w:szCs w:val="24"/>
        </w:rPr>
      </w:pPr>
      <w:r w:rsidRPr="000C7F61">
        <w:rPr>
          <w:smallCaps/>
          <w:sz w:val="24"/>
          <w:szCs w:val="24"/>
        </w:rPr>
        <w:t>Professor of Law</w:t>
      </w:r>
      <w:r>
        <w:rPr>
          <w:smallCaps/>
          <w:sz w:val="24"/>
          <w:szCs w:val="24"/>
        </w:rPr>
        <w:t xml:space="preserve">, </w:t>
      </w:r>
      <w:r w:rsidRPr="000C7F61">
        <w:rPr>
          <w:smallCaps/>
          <w:sz w:val="24"/>
          <w:szCs w:val="24"/>
        </w:rPr>
        <w:t>Howard University</w:t>
      </w:r>
    </w:p>
    <w:p w14:paraId="2F825307" w14:textId="77777777" w:rsidR="001E20F2" w:rsidRPr="00351127" w:rsidRDefault="001E20F2" w:rsidP="001E20F2">
      <w:pPr>
        <w:jc w:val="center"/>
        <w:rPr>
          <w:sz w:val="28"/>
          <w:szCs w:val="28"/>
        </w:rPr>
      </w:pPr>
    </w:p>
    <w:p w14:paraId="35B80B0F" w14:textId="77777777" w:rsidR="001E20F2" w:rsidRPr="0064248E" w:rsidRDefault="001E20F2" w:rsidP="001E20F2">
      <w:pPr>
        <w:jc w:val="center"/>
        <w:rPr>
          <w:b/>
          <w:sz w:val="28"/>
          <w:szCs w:val="28"/>
        </w:rPr>
      </w:pPr>
      <w:r w:rsidRPr="0064248E">
        <w:rPr>
          <w:b/>
          <w:sz w:val="28"/>
          <w:szCs w:val="28"/>
        </w:rPr>
        <w:t>Clifford Rechtschaffen</w:t>
      </w:r>
    </w:p>
    <w:p w14:paraId="708D1E48" w14:textId="77777777" w:rsidR="001E20F2" w:rsidRPr="004C1538" w:rsidRDefault="001E20F2" w:rsidP="001E20F2">
      <w:pPr>
        <w:jc w:val="center"/>
        <w:rPr>
          <w:smallCaps/>
          <w:sz w:val="24"/>
          <w:szCs w:val="24"/>
        </w:rPr>
      </w:pPr>
      <w:r>
        <w:rPr>
          <w:smallCaps/>
          <w:sz w:val="24"/>
          <w:szCs w:val="24"/>
        </w:rPr>
        <w:t>Co-Founder, Golden Gate University Environmental Law and Justice Clinic</w:t>
      </w:r>
    </w:p>
    <w:p w14:paraId="70CF9635" w14:textId="77777777" w:rsidR="001E20F2" w:rsidRPr="003D6F3E" w:rsidRDefault="001E20F2" w:rsidP="001E20F2">
      <w:pPr>
        <w:jc w:val="center"/>
        <w:rPr>
          <w:sz w:val="24"/>
          <w:szCs w:val="24"/>
        </w:rPr>
      </w:pPr>
    </w:p>
    <w:p w14:paraId="66C25860" w14:textId="77777777" w:rsidR="001E20F2" w:rsidRPr="0064248E" w:rsidRDefault="001E20F2" w:rsidP="001E20F2">
      <w:pPr>
        <w:jc w:val="center"/>
        <w:rPr>
          <w:b/>
          <w:sz w:val="28"/>
          <w:szCs w:val="28"/>
        </w:rPr>
      </w:pPr>
      <w:r w:rsidRPr="0064248E">
        <w:rPr>
          <w:b/>
          <w:sz w:val="28"/>
          <w:szCs w:val="28"/>
        </w:rPr>
        <w:t>Eileen Gauna</w:t>
      </w:r>
    </w:p>
    <w:p w14:paraId="48C55515" w14:textId="77777777" w:rsidR="001E20F2" w:rsidRPr="004C1538" w:rsidRDefault="001E20F2" w:rsidP="001E20F2">
      <w:pPr>
        <w:jc w:val="center"/>
        <w:rPr>
          <w:smallCaps/>
          <w:sz w:val="24"/>
          <w:szCs w:val="24"/>
        </w:rPr>
      </w:pPr>
      <w:r w:rsidRPr="004C1538">
        <w:rPr>
          <w:smallCaps/>
          <w:sz w:val="24"/>
          <w:szCs w:val="24"/>
        </w:rPr>
        <w:t>Professor Emerita</w:t>
      </w:r>
      <w:r>
        <w:rPr>
          <w:smallCaps/>
          <w:sz w:val="24"/>
          <w:szCs w:val="24"/>
        </w:rPr>
        <w:t xml:space="preserve">, </w:t>
      </w:r>
      <w:r w:rsidRPr="004C1538">
        <w:rPr>
          <w:smallCaps/>
          <w:sz w:val="24"/>
          <w:szCs w:val="24"/>
        </w:rPr>
        <w:t>Univer</w:t>
      </w:r>
      <w:r>
        <w:rPr>
          <w:smallCaps/>
          <w:sz w:val="24"/>
          <w:szCs w:val="24"/>
        </w:rPr>
        <w:t>sity of New Mexico</w:t>
      </w:r>
    </w:p>
    <w:p w14:paraId="555DEA48" w14:textId="77777777" w:rsidR="001E20F2" w:rsidRPr="003D6F3E" w:rsidRDefault="001E20F2" w:rsidP="001E20F2">
      <w:pPr>
        <w:jc w:val="center"/>
        <w:rPr>
          <w:sz w:val="24"/>
          <w:szCs w:val="24"/>
        </w:rPr>
      </w:pPr>
    </w:p>
    <w:p w14:paraId="0EF1BC54" w14:textId="77777777" w:rsidR="001E20F2" w:rsidRPr="0064248E" w:rsidRDefault="001E20F2" w:rsidP="001E20F2">
      <w:pPr>
        <w:jc w:val="center"/>
        <w:rPr>
          <w:b/>
          <w:sz w:val="28"/>
          <w:szCs w:val="28"/>
        </w:rPr>
      </w:pPr>
      <w:r w:rsidRPr="0064248E">
        <w:rPr>
          <w:b/>
          <w:sz w:val="28"/>
          <w:szCs w:val="28"/>
        </w:rPr>
        <w:t>Catherine O’Neill</w:t>
      </w:r>
    </w:p>
    <w:p w14:paraId="6AD292C4" w14:textId="77777777" w:rsidR="001E20F2" w:rsidRPr="00A85778" w:rsidRDefault="001E20F2" w:rsidP="001E20F2">
      <w:pPr>
        <w:jc w:val="center"/>
        <w:rPr>
          <w:bCs/>
          <w:smallCaps/>
          <w:sz w:val="24"/>
          <w:szCs w:val="24"/>
        </w:rPr>
      </w:pPr>
      <w:r w:rsidRPr="00A85778">
        <w:rPr>
          <w:bCs/>
          <w:smallCaps/>
          <w:sz w:val="24"/>
          <w:szCs w:val="24"/>
        </w:rPr>
        <w:t>Environmental Scholar and Adjunct Professor of Law, Lewis &amp; Clark Law School</w:t>
      </w:r>
    </w:p>
    <w:p w14:paraId="2B556882" w14:textId="77777777" w:rsidR="001E20F2" w:rsidRPr="00A85778" w:rsidRDefault="001E20F2" w:rsidP="001E20F2">
      <w:pPr>
        <w:jc w:val="center"/>
        <w:rPr>
          <w:bCs/>
          <w:sz w:val="24"/>
          <w:szCs w:val="24"/>
        </w:rPr>
      </w:pPr>
      <w:r w:rsidRPr="00A85778">
        <w:rPr>
          <w:bCs/>
          <w:smallCaps/>
          <w:sz w:val="24"/>
          <w:szCs w:val="24"/>
        </w:rPr>
        <w:t>Principal, O’Neill Consulting</w:t>
      </w:r>
    </w:p>
    <w:p w14:paraId="06970E15" w14:textId="77777777" w:rsidR="001E20F2" w:rsidRPr="008F7229" w:rsidRDefault="001E20F2" w:rsidP="001E20F2">
      <w:pPr>
        <w:jc w:val="center"/>
        <w:rPr>
          <w:bCs/>
          <w:sz w:val="28"/>
          <w:szCs w:val="28"/>
        </w:rPr>
      </w:pPr>
    </w:p>
    <w:p w14:paraId="6C0400B6" w14:textId="77777777" w:rsidR="001E20F2" w:rsidRPr="0064248E" w:rsidRDefault="001E20F2" w:rsidP="001E20F2">
      <w:pPr>
        <w:jc w:val="center"/>
        <w:rPr>
          <w:b/>
          <w:sz w:val="28"/>
          <w:szCs w:val="28"/>
        </w:rPr>
      </w:pPr>
      <w:r w:rsidRPr="0064248E">
        <w:rPr>
          <w:b/>
          <w:sz w:val="28"/>
          <w:szCs w:val="28"/>
        </w:rPr>
        <w:t>Roger Lin</w:t>
      </w:r>
    </w:p>
    <w:p w14:paraId="709C3216" w14:textId="77777777" w:rsidR="001E20F2" w:rsidRDefault="001E20F2" w:rsidP="001E20F2">
      <w:pPr>
        <w:jc w:val="center"/>
        <w:rPr>
          <w:sz w:val="28"/>
          <w:szCs w:val="28"/>
        </w:rPr>
      </w:pPr>
      <w:r>
        <w:rPr>
          <w:smallCaps/>
          <w:sz w:val="24"/>
          <w:szCs w:val="24"/>
        </w:rPr>
        <w:t xml:space="preserve">former </w:t>
      </w:r>
      <w:r w:rsidRPr="004C1538">
        <w:rPr>
          <w:smallCaps/>
          <w:sz w:val="24"/>
          <w:szCs w:val="24"/>
        </w:rPr>
        <w:t>Clinical Supervising Attorney</w:t>
      </w:r>
      <w:r>
        <w:rPr>
          <w:smallCaps/>
          <w:sz w:val="24"/>
          <w:szCs w:val="24"/>
        </w:rPr>
        <w:t xml:space="preserve">, </w:t>
      </w:r>
      <w:r w:rsidRPr="004C1538">
        <w:rPr>
          <w:smallCaps/>
          <w:sz w:val="24"/>
          <w:szCs w:val="24"/>
        </w:rPr>
        <w:t>University of C</w:t>
      </w:r>
      <w:r>
        <w:rPr>
          <w:smallCaps/>
          <w:sz w:val="24"/>
          <w:szCs w:val="24"/>
        </w:rPr>
        <w:t>alifornia, Berkeley</w:t>
      </w:r>
    </w:p>
    <w:p w14:paraId="52FDB9B3" w14:textId="77777777" w:rsidR="0070589C" w:rsidRDefault="0070589C" w:rsidP="0070589C">
      <w:pPr>
        <w:rPr>
          <w:sz w:val="28"/>
          <w:szCs w:val="28"/>
        </w:rPr>
      </w:pPr>
    </w:p>
    <w:p w14:paraId="60F2F067" w14:textId="77777777" w:rsidR="0070589C" w:rsidRPr="00962C4F" w:rsidRDefault="0070589C" w:rsidP="0070589C">
      <w:pPr>
        <w:jc w:val="center"/>
        <w:rPr>
          <w:smallCaps/>
          <w:sz w:val="32"/>
          <w:szCs w:val="32"/>
        </w:rPr>
      </w:pPr>
      <w:r w:rsidRPr="00962C4F">
        <w:rPr>
          <w:smallCaps/>
          <w:sz w:val="32"/>
          <w:szCs w:val="32"/>
        </w:rPr>
        <w:t>Carolina Academic Press</w:t>
      </w:r>
    </w:p>
    <w:p w14:paraId="310AABAF" w14:textId="1BEBAF82" w:rsidR="0070589C" w:rsidRDefault="0070589C" w:rsidP="001E20F2">
      <w:pPr>
        <w:jc w:val="center"/>
        <w:rPr>
          <w:sz w:val="32"/>
          <w:szCs w:val="32"/>
        </w:rPr>
      </w:pPr>
      <w:r w:rsidRPr="00C0030C">
        <w:rPr>
          <w:sz w:val="32"/>
          <w:szCs w:val="32"/>
        </w:rPr>
        <w:t>Durham, North Carolina</w:t>
      </w:r>
      <w:r>
        <w:rPr>
          <w:sz w:val="32"/>
          <w:szCs w:val="32"/>
        </w:rPr>
        <w:br w:type="page"/>
      </w:r>
    </w:p>
    <w:p w14:paraId="01692C93" w14:textId="77777777" w:rsidR="0070589C" w:rsidRPr="00E16A98" w:rsidRDefault="0070589C" w:rsidP="0070589C">
      <w:pPr>
        <w:pBdr>
          <w:bottom w:val="single" w:sz="12" w:space="1" w:color="auto"/>
        </w:pBdr>
        <w:rPr>
          <w:b/>
          <w:sz w:val="16"/>
          <w:szCs w:val="16"/>
        </w:rPr>
      </w:pPr>
      <w:r>
        <w:rPr>
          <w:b/>
          <w:sz w:val="28"/>
          <w:szCs w:val="28"/>
        </w:rPr>
        <w:lastRenderedPageBreak/>
        <w:t>Table</w:t>
      </w:r>
      <w:r w:rsidRPr="00E16A98">
        <w:rPr>
          <w:b/>
          <w:sz w:val="28"/>
          <w:szCs w:val="28"/>
        </w:rPr>
        <w:t xml:space="preserve"> of Contents</w:t>
      </w:r>
    </w:p>
    <w:p w14:paraId="3ADFA845" w14:textId="77777777" w:rsidR="0070589C" w:rsidRDefault="0070589C" w:rsidP="0070589C">
      <w:pPr>
        <w:rPr>
          <w:sz w:val="28"/>
          <w:szCs w:val="28"/>
        </w:rPr>
      </w:pPr>
    </w:p>
    <w:p w14:paraId="314720A2" w14:textId="77777777" w:rsidR="0070589C" w:rsidRPr="00FB5F0F" w:rsidRDefault="0070589C" w:rsidP="0070589C">
      <w:pPr>
        <w:rPr>
          <w:b/>
          <w:sz w:val="24"/>
          <w:szCs w:val="24"/>
        </w:rPr>
      </w:pPr>
      <w:r w:rsidRPr="00FB5F0F">
        <w:rPr>
          <w:b/>
          <w:sz w:val="24"/>
          <w:szCs w:val="24"/>
        </w:rPr>
        <w:t>Preface</w:t>
      </w:r>
    </w:p>
    <w:p w14:paraId="10BBA352" w14:textId="77777777" w:rsidR="0070589C" w:rsidRDefault="0070589C" w:rsidP="0070589C">
      <w:pPr>
        <w:rPr>
          <w:b/>
          <w:sz w:val="24"/>
          <w:szCs w:val="24"/>
        </w:rPr>
      </w:pPr>
    </w:p>
    <w:p w14:paraId="09754AAC" w14:textId="64B73DAE" w:rsidR="0070589C" w:rsidRDefault="0070589C" w:rsidP="0070589C">
      <w:pPr>
        <w:rPr>
          <w:b/>
          <w:sz w:val="24"/>
          <w:szCs w:val="24"/>
        </w:rPr>
      </w:pPr>
      <w:r w:rsidRPr="00380F37">
        <w:rPr>
          <w:b/>
          <w:sz w:val="24"/>
          <w:szCs w:val="24"/>
        </w:rPr>
        <w:t>Chapter 1:</w:t>
      </w:r>
      <w:r w:rsidR="00A93AF5">
        <w:rPr>
          <w:b/>
          <w:sz w:val="24"/>
          <w:szCs w:val="24"/>
        </w:rPr>
        <w:tab/>
      </w:r>
      <w:r w:rsidRPr="00380F37">
        <w:rPr>
          <w:b/>
          <w:sz w:val="24"/>
          <w:szCs w:val="24"/>
        </w:rPr>
        <w:t>An Introduction to Environmental Justice</w:t>
      </w:r>
    </w:p>
    <w:p w14:paraId="73BE5FB4" w14:textId="77777777" w:rsidR="0070589C" w:rsidRDefault="0070589C" w:rsidP="0070589C">
      <w:pPr>
        <w:rPr>
          <w:b/>
          <w:sz w:val="24"/>
          <w:szCs w:val="24"/>
        </w:rPr>
      </w:pPr>
    </w:p>
    <w:p w14:paraId="696A7792" w14:textId="1ABD13B8" w:rsidR="0070589C" w:rsidRPr="00B93D23" w:rsidRDefault="0070589C" w:rsidP="0070589C">
      <w:pPr>
        <w:rPr>
          <w:b/>
          <w:sz w:val="24"/>
          <w:szCs w:val="24"/>
        </w:rPr>
      </w:pPr>
      <w:r w:rsidRPr="00B93D23">
        <w:rPr>
          <w:b/>
          <w:sz w:val="24"/>
          <w:szCs w:val="24"/>
        </w:rPr>
        <w:t>Chapter 2:</w:t>
      </w:r>
      <w:r w:rsidR="00A93AF5">
        <w:rPr>
          <w:b/>
          <w:sz w:val="24"/>
          <w:szCs w:val="24"/>
        </w:rPr>
        <w:tab/>
      </w:r>
      <w:r w:rsidRPr="00B93D23">
        <w:rPr>
          <w:b/>
          <w:sz w:val="24"/>
          <w:szCs w:val="24"/>
        </w:rPr>
        <w:t>Theories of Causation</w:t>
      </w:r>
    </w:p>
    <w:p w14:paraId="347A0D8E" w14:textId="77777777" w:rsidR="0070589C" w:rsidRPr="00B93D23" w:rsidRDefault="0070589C" w:rsidP="0070589C">
      <w:pPr>
        <w:pStyle w:val="ListParagraph"/>
      </w:pPr>
    </w:p>
    <w:p w14:paraId="4966E18B" w14:textId="60DC2F30" w:rsidR="0070589C" w:rsidRPr="00CE79C3" w:rsidRDefault="0070589C" w:rsidP="0070589C">
      <w:pPr>
        <w:rPr>
          <w:b/>
          <w:sz w:val="24"/>
          <w:szCs w:val="24"/>
        </w:rPr>
      </w:pPr>
      <w:r w:rsidRPr="00CE79C3">
        <w:rPr>
          <w:b/>
          <w:sz w:val="24"/>
          <w:szCs w:val="24"/>
        </w:rPr>
        <w:t>Chapter 3:</w:t>
      </w:r>
      <w:r w:rsidR="00A93AF5">
        <w:rPr>
          <w:b/>
          <w:sz w:val="24"/>
          <w:szCs w:val="24"/>
        </w:rPr>
        <w:tab/>
      </w:r>
      <w:r w:rsidRPr="00CE79C3">
        <w:rPr>
          <w:b/>
          <w:sz w:val="24"/>
          <w:szCs w:val="24"/>
        </w:rPr>
        <w:t>Risk and Health</w:t>
      </w:r>
    </w:p>
    <w:p w14:paraId="0AE76CFD" w14:textId="77777777" w:rsidR="0070589C" w:rsidRPr="00CE79C3" w:rsidRDefault="0070589C" w:rsidP="0070589C">
      <w:pPr>
        <w:pStyle w:val="ListParagraph"/>
      </w:pPr>
    </w:p>
    <w:p w14:paraId="6B4CD111" w14:textId="217D0E8D" w:rsidR="0070589C" w:rsidRPr="009E144A" w:rsidRDefault="0070589C" w:rsidP="0070589C">
      <w:pPr>
        <w:rPr>
          <w:b/>
          <w:sz w:val="24"/>
          <w:szCs w:val="24"/>
        </w:rPr>
      </w:pPr>
      <w:r w:rsidRPr="009E144A">
        <w:rPr>
          <w:b/>
          <w:sz w:val="24"/>
          <w:szCs w:val="24"/>
        </w:rPr>
        <w:t>Chapter 4:</w:t>
      </w:r>
      <w:r w:rsidR="00A93AF5">
        <w:rPr>
          <w:b/>
          <w:sz w:val="24"/>
          <w:szCs w:val="24"/>
        </w:rPr>
        <w:tab/>
      </w:r>
      <w:r w:rsidRPr="009E144A">
        <w:rPr>
          <w:b/>
          <w:sz w:val="24"/>
          <w:szCs w:val="24"/>
        </w:rPr>
        <w:t xml:space="preserve">Constitutional </w:t>
      </w:r>
      <w:r w:rsidR="002074C1">
        <w:rPr>
          <w:b/>
          <w:sz w:val="24"/>
          <w:szCs w:val="24"/>
        </w:rPr>
        <w:t xml:space="preserve">Law </w:t>
      </w:r>
      <w:r w:rsidRPr="009E144A">
        <w:rPr>
          <w:b/>
          <w:sz w:val="24"/>
          <w:szCs w:val="24"/>
        </w:rPr>
        <w:t>and Civil Rights Claims</w:t>
      </w:r>
    </w:p>
    <w:p w14:paraId="7CFD6AFD" w14:textId="77777777" w:rsidR="0070589C" w:rsidRDefault="0070589C" w:rsidP="0070589C">
      <w:pPr>
        <w:rPr>
          <w:b/>
          <w:sz w:val="24"/>
          <w:szCs w:val="24"/>
        </w:rPr>
      </w:pPr>
    </w:p>
    <w:p w14:paraId="20FE68D1" w14:textId="48D597A2" w:rsidR="0070589C" w:rsidRPr="0042714D" w:rsidRDefault="0070589C" w:rsidP="0070589C">
      <w:pPr>
        <w:rPr>
          <w:b/>
          <w:sz w:val="24"/>
          <w:szCs w:val="24"/>
        </w:rPr>
      </w:pPr>
      <w:r w:rsidRPr="0042714D">
        <w:rPr>
          <w:b/>
          <w:sz w:val="24"/>
          <w:szCs w:val="24"/>
        </w:rPr>
        <w:t>Chapter 5:</w:t>
      </w:r>
      <w:r w:rsidR="00A93AF5">
        <w:rPr>
          <w:b/>
          <w:sz w:val="24"/>
          <w:szCs w:val="24"/>
        </w:rPr>
        <w:tab/>
      </w:r>
      <w:r w:rsidR="009A1329">
        <w:rPr>
          <w:b/>
          <w:sz w:val="24"/>
          <w:szCs w:val="24"/>
        </w:rPr>
        <w:t>Environmental Regulations</w:t>
      </w:r>
    </w:p>
    <w:p w14:paraId="5B07EBF9" w14:textId="77777777" w:rsidR="0070589C" w:rsidRDefault="0070589C" w:rsidP="0070589C">
      <w:pPr>
        <w:pStyle w:val="ListParagraph"/>
        <w:ind w:left="1080"/>
      </w:pPr>
    </w:p>
    <w:p w14:paraId="59F48553" w14:textId="493072A4" w:rsidR="0070589C" w:rsidRPr="000259EE" w:rsidRDefault="0070589C" w:rsidP="0070589C">
      <w:pPr>
        <w:rPr>
          <w:b/>
          <w:sz w:val="24"/>
          <w:szCs w:val="24"/>
        </w:rPr>
      </w:pPr>
      <w:r w:rsidRPr="000259EE">
        <w:rPr>
          <w:b/>
          <w:sz w:val="24"/>
          <w:szCs w:val="24"/>
        </w:rPr>
        <w:t>Chapter 6:</w:t>
      </w:r>
      <w:r w:rsidR="00A93AF5">
        <w:rPr>
          <w:b/>
          <w:sz w:val="24"/>
          <w:szCs w:val="24"/>
        </w:rPr>
        <w:tab/>
      </w:r>
      <w:r w:rsidR="009A1329">
        <w:rPr>
          <w:b/>
          <w:sz w:val="24"/>
          <w:szCs w:val="24"/>
        </w:rPr>
        <w:t>Environmental Permits</w:t>
      </w:r>
    </w:p>
    <w:p w14:paraId="14ABA123" w14:textId="77777777" w:rsidR="0070589C" w:rsidRDefault="0070589C" w:rsidP="0070589C">
      <w:pPr>
        <w:rPr>
          <w:b/>
          <w:sz w:val="24"/>
          <w:szCs w:val="24"/>
        </w:rPr>
      </w:pPr>
    </w:p>
    <w:p w14:paraId="17518958" w14:textId="7E125E80" w:rsidR="0070589C" w:rsidRPr="00213DCE" w:rsidRDefault="0070589C" w:rsidP="0070589C">
      <w:pPr>
        <w:rPr>
          <w:b/>
          <w:sz w:val="24"/>
          <w:szCs w:val="24"/>
        </w:rPr>
      </w:pPr>
      <w:r w:rsidRPr="00213DCE">
        <w:rPr>
          <w:b/>
          <w:sz w:val="24"/>
          <w:szCs w:val="24"/>
        </w:rPr>
        <w:t>Chapter 7:</w:t>
      </w:r>
      <w:r w:rsidR="00A93AF5">
        <w:rPr>
          <w:b/>
          <w:sz w:val="24"/>
          <w:szCs w:val="24"/>
        </w:rPr>
        <w:tab/>
      </w:r>
      <w:r w:rsidR="009A1329">
        <w:rPr>
          <w:b/>
          <w:sz w:val="24"/>
          <w:szCs w:val="24"/>
        </w:rPr>
        <w:t xml:space="preserve">Government </w:t>
      </w:r>
      <w:r w:rsidRPr="00213DCE">
        <w:rPr>
          <w:b/>
          <w:sz w:val="24"/>
          <w:szCs w:val="24"/>
        </w:rPr>
        <w:t>Enforcement</w:t>
      </w:r>
    </w:p>
    <w:p w14:paraId="2E0EAF57" w14:textId="77777777" w:rsidR="0070589C" w:rsidRDefault="0070589C" w:rsidP="0070589C">
      <w:pPr>
        <w:rPr>
          <w:b/>
          <w:sz w:val="24"/>
          <w:szCs w:val="24"/>
        </w:rPr>
      </w:pPr>
    </w:p>
    <w:p w14:paraId="04696331" w14:textId="43C879A3" w:rsidR="0070589C" w:rsidRPr="009234D4" w:rsidRDefault="0070589C" w:rsidP="0070589C">
      <w:pPr>
        <w:rPr>
          <w:b/>
          <w:sz w:val="24"/>
          <w:szCs w:val="24"/>
        </w:rPr>
      </w:pPr>
      <w:r w:rsidRPr="009234D4">
        <w:rPr>
          <w:b/>
          <w:sz w:val="24"/>
          <w:szCs w:val="24"/>
        </w:rPr>
        <w:t>Chapter 8:</w:t>
      </w:r>
      <w:r w:rsidR="00A93AF5">
        <w:rPr>
          <w:b/>
          <w:sz w:val="24"/>
          <w:szCs w:val="24"/>
        </w:rPr>
        <w:tab/>
      </w:r>
      <w:r w:rsidRPr="009234D4">
        <w:rPr>
          <w:b/>
          <w:sz w:val="24"/>
          <w:szCs w:val="24"/>
        </w:rPr>
        <w:t>Environmental Justice and Contaminated Sites</w:t>
      </w:r>
    </w:p>
    <w:p w14:paraId="5A0F0652" w14:textId="77777777" w:rsidR="0070589C" w:rsidRPr="009234D4" w:rsidRDefault="0070589C" w:rsidP="0070589C">
      <w:pPr>
        <w:pStyle w:val="ListParagraph"/>
      </w:pPr>
    </w:p>
    <w:p w14:paraId="0D72687C" w14:textId="7D28D791" w:rsidR="0070589C" w:rsidRPr="009234D4" w:rsidRDefault="0070589C" w:rsidP="0070589C">
      <w:pPr>
        <w:rPr>
          <w:b/>
          <w:sz w:val="24"/>
          <w:szCs w:val="24"/>
        </w:rPr>
      </w:pPr>
      <w:r w:rsidRPr="009234D4">
        <w:rPr>
          <w:b/>
          <w:sz w:val="24"/>
          <w:szCs w:val="24"/>
        </w:rPr>
        <w:t xml:space="preserve">Chapter 9: </w:t>
      </w:r>
      <w:r w:rsidR="00A93AF5">
        <w:rPr>
          <w:b/>
          <w:sz w:val="24"/>
          <w:szCs w:val="24"/>
        </w:rPr>
        <w:tab/>
      </w:r>
      <w:r w:rsidRPr="009234D4">
        <w:rPr>
          <w:b/>
          <w:sz w:val="24"/>
          <w:szCs w:val="24"/>
        </w:rPr>
        <w:t xml:space="preserve">Environmental Justice </w:t>
      </w:r>
      <w:r w:rsidR="00185BD6">
        <w:rPr>
          <w:b/>
          <w:sz w:val="24"/>
          <w:szCs w:val="24"/>
        </w:rPr>
        <w:t>for</w:t>
      </w:r>
      <w:r w:rsidRPr="009234D4">
        <w:rPr>
          <w:b/>
          <w:sz w:val="24"/>
          <w:szCs w:val="24"/>
        </w:rPr>
        <w:t xml:space="preserve"> Indian </w:t>
      </w:r>
      <w:r w:rsidR="00185BD6">
        <w:rPr>
          <w:b/>
          <w:sz w:val="24"/>
          <w:szCs w:val="24"/>
        </w:rPr>
        <w:t>Tribes and Indigenous People</w:t>
      </w:r>
    </w:p>
    <w:p w14:paraId="791F17B6" w14:textId="77777777" w:rsidR="0070589C" w:rsidRDefault="0070589C" w:rsidP="0070589C">
      <w:pPr>
        <w:rPr>
          <w:b/>
          <w:sz w:val="24"/>
          <w:szCs w:val="24"/>
        </w:rPr>
      </w:pPr>
    </w:p>
    <w:p w14:paraId="38DDA9F0" w14:textId="789D3E73" w:rsidR="0070589C" w:rsidRPr="004936D6" w:rsidRDefault="0070589C" w:rsidP="0070589C">
      <w:pPr>
        <w:rPr>
          <w:b/>
          <w:sz w:val="24"/>
          <w:szCs w:val="24"/>
        </w:rPr>
      </w:pPr>
      <w:r w:rsidRPr="004936D6">
        <w:rPr>
          <w:b/>
          <w:sz w:val="24"/>
          <w:szCs w:val="24"/>
        </w:rPr>
        <w:t>Chapter 10:</w:t>
      </w:r>
      <w:r w:rsidR="00A93AF5">
        <w:rPr>
          <w:b/>
          <w:sz w:val="24"/>
          <w:szCs w:val="24"/>
        </w:rPr>
        <w:tab/>
        <w:t>Public and Private</w:t>
      </w:r>
      <w:r w:rsidRPr="004936D6">
        <w:rPr>
          <w:b/>
          <w:sz w:val="24"/>
          <w:szCs w:val="24"/>
        </w:rPr>
        <w:t xml:space="preserve"> Initiatives to</w:t>
      </w:r>
      <w:r w:rsidR="00A93AF5">
        <w:rPr>
          <w:b/>
          <w:sz w:val="24"/>
          <w:szCs w:val="24"/>
        </w:rPr>
        <w:t xml:space="preserve"> Promote </w:t>
      </w:r>
      <w:r w:rsidRPr="004936D6">
        <w:rPr>
          <w:b/>
          <w:sz w:val="24"/>
          <w:szCs w:val="24"/>
        </w:rPr>
        <w:t>Environmental Justice</w:t>
      </w:r>
    </w:p>
    <w:p w14:paraId="2ACD29BD" w14:textId="77777777" w:rsidR="0070589C" w:rsidRDefault="0070589C" w:rsidP="0070589C">
      <w:pPr>
        <w:rPr>
          <w:b/>
          <w:sz w:val="24"/>
          <w:szCs w:val="24"/>
        </w:rPr>
      </w:pPr>
    </w:p>
    <w:p w14:paraId="1BC7116D" w14:textId="061218E5" w:rsidR="0070589C" w:rsidRPr="00233D18" w:rsidRDefault="0070589C" w:rsidP="0070589C">
      <w:pPr>
        <w:rPr>
          <w:b/>
          <w:sz w:val="24"/>
          <w:szCs w:val="24"/>
        </w:rPr>
      </w:pPr>
      <w:r w:rsidRPr="00233D18">
        <w:rPr>
          <w:b/>
          <w:sz w:val="24"/>
          <w:szCs w:val="24"/>
        </w:rPr>
        <w:t>Chapter 11</w:t>
      </w:r>
      <w:r w:rsidR="00A93AF5">
        <w:rPr>
          <w:b/>
          <w:sz w:val="24"/>
          <w:szCs w:val="24"/>
        </w:rPr>
        <w:t>:</w:t>
      </w:r>
      <w:r w:rsidR="00A93AF5">
        <w:rPr>
          <w:b/>
          <w:sz w:val="24"/>
          <w:szCs w:val="24"/>
        </w:rPr>
        <w:tab/>
      </w:r>
      <w:r w:rsidR="00A93AF5" w:rsidRPr="00233D18">
        <w:rPr>
          <w:b/>
          <w:sz w:val="24"/>
          <w:szCs w:val="24"/>
        </w:rPr>
        <w:t>Information Disclosure and Environmental Review</w:t>
      </w:r>
    </w:p>
    <w:p w14:paraId="3EF44D4D" w14:textId="77777777" w:rsidR="0070589C" w:rsidRDefault="0070589C" w:rsidP="0070589C">
      <w:pPr>
        <w:rPr>
          <w:b/>
          <w:sz w:val="24"/>
          <w:szCs w:val="24"/>
        </w:rPr>
      </w:pPr>
    </w:p>
    <w:p w14:paraId="3D46607C" w14:textId="2E2EBDF3" w:rsidR="0070589C" w:rsidRPr="00233D18" w:rsidRDefault="0070589C" w:rsidP="0070589C">
      <w:pPr>
        <w:rPr>
          <w:b/>
          <w:sz w:val="24"/>
          <w:szCs w:val="24"/>
        </w:rPr>
      </w:pPr>
      <w:r w:rsidRPr="00233D18">
        <w:rPr>
          <w:b/>
          <w:sz w:val="24"/>
          <w:szCs w:val="24"/>
        </w:rPr>
        <w:t>Chapter 12:</w:t>
      </w:r>
      <w:r w:rsidR="00A93AF5">
        <w:rPr>
          <w:b/>
          <w:sz w:val="24"/>
          <w:szCs w:val="24"/>
        </w:rPr>
        <w:tab/>
      </w:r>
      <w:r w:rsidR="00A93AF5" w:rsidRPr="0000421C">
        <w:rPr>
          <w:b/>
          <w:sz w:val="24"/>
          <w:szCs w:val="24"/>
        </w:rPr>
        <w:t>Citizen Enforcement and Common Law Remedies</w:t>
      </w:r>
    </w:p>
    <w:p w14:paraId="4FF042E6" w14:textId="77777777" w:rsidR="0070589C" w:rsidRPr="00233D18" w:rsidRDefault="0070589C" w:rsidP="0070589C">
      <w:pPr>
        <w:pStyle w:val="ListParagraph"/>
      </w:pPr>
    </w:p>
    <w:p w14:paraId="4F4340D4" w14:textId="5EB780AC" w:rsidR="0070589C" w:rsidRPr="0000421C" w:rsidRDefault="0070589C" w:rsidP="0070589C">
      <w:pPr>
        <w:rPr>
          <w:b/>
          <w:sz w:val="24"/>
          <w:szCs w:val="24"/>
        </w:rPr>
      </w:pPr>
      <w:r w:rsidRPr="0000421C">
        <w:rPr>
          <w:b/>
          <w:sz w:val="24"/>
          <w:szCs w:val="24"/>
        </w:rPr>
        <w:t>Chapter 13:</w:t>
      </w:r>
      <w:r w:rsidR="00723189">
        <w:rPr>
          <w:b/>
          <w:sz w:val="24"/>
          <w:szCs w:val="24"/>
        </w:rPr>
        <w:tab/>
      </w:r>
      <w:r w:rsidR="00A93AF5">
        <w:rPr>
          <w:b/>
          <w:sz w:val="24"/>
          <w:szCs w:val="24"/>
        </w:rPr>
        <w:t xml:space="preserve">Environmental Justice </w:t>
      </w:r>
      <w:r w:rsidR="00723189">
        <w:rPr>
          <w:b/>
          <w:sz w:val="24"/>
          <w:szCs w:val="24"/>
        </w:rPr>
        <w:t>in</w:t>
      </w:r>
      <w:r w:rsidR="00A93AF5">
        <w:rPr>
          <w:b/>
          <w:sz w:val="24"/>
          <w:szCs w:val="24"/>
        </w:rPr>
        <w:t xml:space="preserve"> International </w:t>
      </w:r>
      <w:r w:rsidR="00723189">
        <w:rPr>
          <w:b/>
          <w:sz w:val="24"/>
          <w:szCs w:val="24"/>
        </w:rPr>
        <w:t>Law</w:t>
      </w:r>
    </w:p>
    <w:p w14:paraId="621AE599" w14:textId="77777777" w:rsidR="0070589C" w:rsidRDefault="0070589C" w:rsidP="0070589C">
      <w:pPr>
        <w:rPr>
          <w:b/>
          <w:sz w:val="24"/>
          <w:szCs w:val="24"/>
        </w:rPr>
      </w:pPr>
    </w:p>
    <w:p w14:paraId="3CE6FD97" w14:textId="61BA2873" w:rsidR="0070589C" w:rsidRPr="0000421C" w:rsidRDefault="0070589C" w:rsidP="0070589C">
      <w:pPr>
        <w:rPr>
          <w:b/>
          <w:sz w:val="24"/>
          <w:szCs w:val="24"/>
        </w:rPr>
      </w:pPr>
      <w:r w:rsidRPr="0000421C">
        <w:rPr>
          <w:b/>
          <w:sz w:val="24"/>
          <w:szCs w:val="24"/>
        </w:rPr>
        <w:t>Chapter 14:</w:t>
      </w:r>
      <w:r w:rsidR="00723189">
        <w:rPr>
          <w:b/>
          <w:sz w:val="24"/>
          <w:szCs w:val="24"/>
        </w:rPr>
        <w:tab/>
      </w:r>
      <w:r w:rsidRPr="0000421C">
        <w:rPr>
          <w:b/>
          <w:sz w:val="24"/>
          <w:szCs w:val="24"/>
        </w:rPr>
        <w:t>Climate Justice</w:t>
      </w:r>
    </w:p>
    <w:p w14:paraId="049B6FFD" w14:textId="77777777" w:rsidR="0070589C" w:rsidRDefault="0070589C" w:rsidP="0070589C">
      <w:pPr>
        <w:rPr>
          <w:b/>
          <w:sz w:val="24"/>
          <w:szCs w:val="24"/>
        </w:rPr>
      </w:pPr>
    </w:p>
    <w:p w14:paraId="5A23E020" w14:textId="476E47AA" w:rsidR="0070589C" w:rsidRPr="00953DCB" w:rsidRDefault="0070589C" w:rsidP="0070589C">
      <w:pPr>
        <w:rPr>
          <w:b/>
          <w:sz w:val="24"/>
          <w:szCs w:val="24"/>
        </w:rPr>
      </w:pPr>
      <w:r w:rsidRPr="00953DCB">
        <w:rPr>
          <w:b/>
          <w:sz w:val="24"/>
          <w:szCs w:val="24"/>
        </w:rPr>
        <w:t>Chapter 15:</w:t>
      </w:r>
      <w:r w:rsidR="00723189">
        <w:rPr>
          <w:b/>
          <w:sz w:val="24"/>
          <w:szCs w:val="24"/>
        </w:rPr>
        <w:tab/>
      </w:r>
      <w:r w:rsidRPr="00953DCB">
        <w:rPr>
          <w:b/>
          <w:sz w:val="24"/>
          <w:szCs w:val="24"/>
        </w:rPr>
        <w:t>Disaster Justice</w:t>
      </w:r>
    </w:p>
    <w:p w14:paraId="2D5A13B4" w14:textId="77777777" w:rsidR="0070589C" w:rsidRPr="00953DCB" w:rsidRDefault="0070589C" w:rsidP="0070589C">
      <w:pPr>
        <w:pStyle w:val="ListParagraph"/>
        <w:ind w:left="1080"/>
      </w:pPr>
    </w:p>
    <w:p w14:paraId="73B29F54" w14:textId="779A9029" w:rsidR="0070589C" w:rsidRPr="00953DCB" w:rsidRDefault="0070589C" w:rsidP="0070589C">
      <w:pPr>
        <w:rPr>
          <w:b/>
          <w:sz w:val="24"/>
          <w:szCs w:val="24"/>
        </w:rPr>
      </w:pPr>
      <w:r w:rsidRPr="00953DCB">
        <w:rPr>
          <w:b/>
          <w:sz w:val="24"/>
          <w:szCs w:val="24"/>
        </w:rPr>
        <w:t>Chapter 16:</w:t>
      </w:r>
      <w:r w:rsidR="00723189">
        <w:rPr>
          <w:b/>
          <w:sz w:val="24"/>
          <w:szCs w:val="24"/>
        </w:rPr>
        <w:tab/>
      </w:r>
      <w:r w:rsidRPr="00953DCB">
        <w:rPr>
          <w:b/>
          <w:sz w:val="24"/>
          <w:szCs w:val="24"/>
        </w:rPr>
        <w:t>Food Justice</w:t>
      </w:r>
    </w:p>
    <w:p w14:paraId="26974989" w14:textId="77777777" w:rsidR="0070589C" w:rsidRDefault="0070589C" w:rsidP="0070589C">
      <w:pPr>
        <w:widowControl/>
        <w:autoSpaceDE/>
        <w:autoSpaceDN/>
        <w:adjustRightInd/>
        <w:spacing w:after="160" w:line="259" w:lineRule="auto"/>
        <w:rPr>
          <w:b/>
          <w:sz w:val="28"/>
          <w:szCs w:val="28"/>
        </w:rPr>
      </w:pPr>
      <w:r>
        <w:rPr>
          <w:b/>
          <w:sz w:val="28"/>
          <w:szCs w:val="28"/>
        </w:rPr>
        <w:br w:type="page"/>
      </w:r>
    </w:p>
    <w:p w14:paraId="14ECD587" w14:textId="77777777" w:rsidR="0070589C" w:rsidRPr="00E16A98" w:rsidRDefault="0070589C" w:rsidP="0070589C">
      <w:pPr>
        <w:pBdr>
          <w:bottom w:val="single" w:sz="12" w:space="1" w:color="auto"/>
        </w:pBdr>
        <w:rPr>
          <w:b/>
          <w:sz w:val="16"/>
          <w:szCs w:val="16"/>
        </w:rPr>
      </w:pPr>
      <w:r>
        <w:rPr>
          <w:b/>
          <w:sz w:val="28"/>
          <w:szCs w:val="28"/>
        </w:rPr>
        <w:lastRenderedPageBreak/>
        <w:t>Preface</w:t>
      </w:r>
    </w:p>
    <w:p w14:paraId="5CC85DD4" w14:textId="77777777" w:rsidR="0070589C" w:rsidRDefault="0070589C" w:rsidP="0070589C">
      <w:pPr>
        <w:rPr>
          <w:sz w:val="28"/>
          <w:szCs w:val="28"/>
        </w:rPr>
      </w:pPr>
    </w:p>
    <w:p w14:paraId="45942E6B" w14:textId="5C85093E" w:rsidR="0070589C" w:rsidRDefault="0070589C" w:rsidP="00EC5E01">
      <w:pPr>
        <w:ind w:right="540"/>
        <w:jc w:val="both"/>
        <w:rPr>
          <w:sz w:val="24"/>
          <w:szCs w:val="24"/>
        </w:rPr>
      </w:pPr>
      <w:r>
        <w:rPr>
          <w:sz w:val="24"/>
          <w:szCs w:val="24"/>
        </w:rPr>
        <w:tab/>
        <w:t>202</w:t>
      </w:r>
      <w:r w:rsidR="007D3086">
        <w:rPr>
          <w:sz w:val="24"/>
          <w:szCs w:val="24"/>
        </w:rPr>
        <w:t>5</w:t>
      </w:r>
      <w:r>
        <w:rPr>
          <w:sz w:val="24"/>
          <w:szCs w:val="24"/>
        </w:rPr>
        <w:t xml:space="preserve"> </w:t>
      </w:r>
      <w:r w:rsidR="00BC4F49">
        <w:rPr>
          <w:sz w:val="24"/>
          <w:szCs w:val="24"/>
        </w:rPr>
        <w:t xml:space="preserve">was </w:t>
      </w:r>
      <w:r w:rsidR="00B86758">
        <w:rPr>
          <w:sz w:val="24"/>
          <w:szCs w:val="24"/>
        </w:rPr>
        <w:t xml:space="preserve">a hard year for environmental justice.  The year began </w:t>
      </w:r>
      <w:r w:rsidR="00EC5E01">
        <w:rPr>
          <w:sz w:val="24"/>
          <w:szCs w:val="24"/>
        </w:rPr>
        <w:t xml:space="preserve">with </w:t>
      </w:r>
      <w:r w:rsidR="00176A48">
        <w:rPr>
          <w:sz w:val="24"/>
          <w:szCs w:val="24"/>
        </w:rPr>
        <w:t>President Biden,</w:t>
      </w:r>
      <w:r w:rsidR="00EC5E01">
        <w:rPr>
          <w:sz w:val="24"/>
          <w:szCs w:val="24"/>
        </w:rPr>
        <w:t xml:space="preserve"> </w:t>
      </w:r>
      <w:r w:rsidR="00EE1965">
        <w:rPr>
          <w:sz w:val="24"/>
          <w:szCs w:val="24"/>
        </w:rPr>
        <w:t>who put environmental justice at the top of his domestic agenda</w:t>
      </w:r>
      <w:r w:rsidR="007270E3">
        <w:rPr>
          <w:sz w:val="24"/>
          <w:szCs w:val="24"/>
        </w:rPr>
        <w:t>.</w:t>
      </w:r>
      <w:r w:rsidR="00AB632C">
        <w:rPr>
          <w:sz w:val="24"/>
          <w:szCs w:val="24"/>
        </w:rPr>
        <w:t xml:space="preserve"> President Trump immediately reversed </w:t>
      </w:r>
      <w:r w:rsidR="00332FDC">
        <w:rPr>
          <w:sz w:val="24"/>
          <w:szCs w:val="24"/>
        </w:rPr>
        <w:t xml:space="preserve">Biden’s </w:t>
      </w:r>
      <w:r w:rsidR="00053AF8">
        <w:rPr>
          <w:sz w:val="24"/>
          <w:szCs w:val="24"/>
        </w:rPr>
        <w:t>environmental justice agenda</w:t>
      </w:r>
      <w:r w:rsidR="00C9069B">
        <w:rPr>
          <w:sz w:val="24"/>
          <w:szCs w:val="24"/>
        </w:rPr>
        <w:t xml:space="preserve">, even reaching </w:t>
      </w:r>
      <w:r w:rsidR="00176A48">
        <w:rPr>
          <w:sz w:val="24"/>
          <w:szCs w:val="24"/>
        </w:rPr>
        <w:t xml:space="preserve">back 30 years </w:t>
      </w:r>
      <w:r w:rsidR="00DD3E68">
        <w:rPr>
          <w:sz w:val="24"/>
          <w:szCs w:val="24"/>
        </w:rPr>
        <w:t xml:space="preserve">to </w:t>
      </w:r>
      <w:r w:rsidR="00AB632C">
        <w:rPr>
          <w:sz w:val="24"/>
          <w:szCs w:val="24"/>
        </w:rPr>
        <w:t>re</w:t>
      </w:r>
      <w:r w:rsidR="00EF0EBD">
        <w:rPr>
          <w:sz w:val="24"/>
          <w:szCs w:val="24"/>
        </w:rPr>
        <w:t>peal</w:t>
      </w:r>
      <w:r w:rsidR="00AB632C">
        <w:rPr>
          <w:sz w:val="24"/>
          <w:szCs w:val="24"/>
        </w:rPr>
        <w:t xml:space="preserve"> </w:t>
      </w:r>
      <w:r w:rsidR="00DD3E68">
        <w:rPr>
          <w:sz w:val="24"/>
          <w:szCs w:val="24"/>
        </w:rPr>
        <w:t>President Clinton’s original executive order on environmental justice.</w:t>
      </w:r>
      <w:r w:rsidR="00AB632C">
        <w:rPr>
          <w:sz w:val="24"/>
          <w:szCs w:val="24"/>
        </w:rPr>
        <w:t xml:space="preserve">  </w:t>
      </w:r>
      <w:r w:rsidR="00EF44AB">
        <w:rPr>
          <w:sz w:val="24"/>
          <w:szCs w:val="24"/>
        </w:rPr>
        <w:t>President Trump proceeded to abolish EPA’s Office of Environmental Justice and External Civil Rights</w:t>
      </w:r>
      <w:r w:rsidR="00463897">
        <w:rPr>
          <w:sz w:val="24"/>
          <w:szCs w:val="24"/>
        </w:rPr>
        <w:t xml:space="preserve">, </w:t>
      </w:r>
      <w:r w:rsidR="00EF44AB">
        <w:rPr>
          <w:sz w:val="24"/>
          <w:szCs w:val="24"/>
        </w:rPr>
        <w:t>fired hundreds of federal workers supporting environmental justice work</w:t>
      </w:r>
      <w:r w:rsidR="00463897">
        <w:rPr>
          <w:sz w:val="24"/>
          <w:szCs w:val="24"/>
        </w:rPr>
        <w:t xml:space="preserve">, and cancelled </w:t>
      </w:r>
      <w:r w:rsidR="00AB5155">
        <w:rPr>
          <w:sz w:val="24"/>
          <w:szCs w:val="24"/>
        </w:rPr>
        <w:t xml:space="preserve">grants worth </w:t>
      </w:r>
      <w:r w:rsidR="00463897">
        <w:rPr>
          <w:sz w:val="24"/>
          <w:szCs w:val="24"/>
        </w:rPr>
        <w:t xml:space="preserve">billions of dollars appropriated by Congress </w:t>
      </w:r>
      <w:r w:rsidR="00A30F7B">
        <w:rPr>
          <w:sz w:val="24"/>
          <w:szCs w:val="24"/>
        </w:rPr>
        <w:t xml:space="preserve">for climate and environmental justice work </w:t>
      </w:r>
      <w:r w:rsidR="00E37E44">
        <w:rPr>
          <w:sz w:val="24"/>
          <w:szCs w:val="24"/>
        </w:rPr>
        <w:t>throughout the United States</w:t>
      </w:r>
      <w:r w:rsidR="00A30F7B">
        <w:rPr>
          <w:sz w:val="24"/>
          <w:szCs w:val="24"/>
        </w:rPr>
        <w:t>.</w:t>
      </w:r>
    </w:p>
    <w:p w14:paraId="4D159F48" w14:textId="224DF803" w:rsidR="00CE1901" w:rsidRDefault="0070589C" w:rsidP="0070589C">
      <w:pPr>
        <w:ind w:right="540"/>
        <w:jc w:val="both"/>
        <w:rPr>
          <w:sz w:val="24"/>
          <w:szCs w:val="24"/>
        </w:rPr>
      </w:pPr>
      <w:r>
        <w:rPr>
          <w:sz w:val="24"/>
          <w:szCs w:val="24"/>
        </w:rPr>
        <w:tab/>
      </w:r>
      <w:r w:rsidR="00CD5E0A">
        <w:rPr>
          <w:sz w:val="24"/>
          <w:szCs w:val="24"/>
        </w:rPr>
        <w:t>At the same time that it felt</w:t>
      </w:r>
      <w:r w:rsidR="00B11206">
        <w:rPr>
          <w:sz w:val="24"/>
          <w:szCs w:val="24"/>
        </w:rPr>
        <w:t xml:space="preserve"> environmental justice was being erased from the national lexicon, </w:t>
      </w:r>
      <w:r w:rsidR="00CD5E0A">
        <w:rPr>
          <w:sz w:val="24"/>
          <w:szCs w:val="24"/>
        </w:rPr>
        <w:t>we were writing a book</w:t>
      </w:r>
      <w:r w:rsidR="00B11206">
        <w:rPr>
          <w:sz w:val="24"/>
          <w:szCs w:val="24"/>
        </w:rPr>
        <w:t xml:space="preserve"> about it.</w:t>
      </w:r>
      <w:r w:rsidR="00CD5E0A">
        <w:rPr>
          <w:sz w:val="24"/>
          <w:szCs w:val="24"/>
        </w:rPr>
        <w:t xml:space="preserve">  </w:t>
      </w:r>
      <w:r w:rsidR="001D689B">
        <w:rPr>
          <w:sz w:val="24"/>
          <w:szCs w:val="24"/>
        </w:rPr>
        <w:t xml:space="preserve">There were moments of doubt, of course.  </w:t>
      </w:r>
      <w:r w:rsidR="002B019A" w:rsidRPr="00DE1AED">
        <w:rPr>
          <w:i/>
          <w:iCs/>
          <w:sz w:val="24"/>
          <w:szCs w:val="24"/>
        </w:rPr>
        <w:t>Would anyone ever read the book?</w:t>
      </w:r>
      <w:r w:rsidR="002B019A">
        <w:rPr>
          <w:sz w:val="24"/>
          <w:szCs w:val="24"/>
        </w:rPr>
        <w:t xml:space="preserve">  </w:t>
      </w:r>
      <w:r w:rsidR="002B019A" w:rsidRPr="00DE1AED">
        <w:rPr>
          <w:i/>
          <w:iCs/>
          <w:sz w:val="24"/>
          <w:szCs w:val="24"/>
        </w:rPr>
        <w:t>Would environmental justice ever be taught in school again?</w:t>
      </w:r>
      <w:r w:rsidR="002B019A">
        <w:rPr>
          <w:sz w:val="24"/>
          <w:szCs w:val="24"/>
        </w:rPr>
        <w:t xml:space="preserve">  </w:t>
      </w:r>
      <w:r w:rsidR="00AD7E69">
        <w:rPr>
          <w:sz w:val="24"/>
          <w:szCs w:val="24"/>
        </w:rPr>
        <w:t xml:space="preserve">But as we continued in our </w:t>
      </w:r>
      <w:r w:rsidR="00394308">
        <w:rPr>
          <w:sz w:val="24"/>
          <w:szCs w:val="24"/>
        </w:rPr>
        <w:t xml:space="preserve">work, </w:t>
      </w:r>
      <w:r w:rsidR="0085717F">
        <w:rPr>
          <w:sz w:val="24"/>
          <w:szCs w:val="24"/>
        </w:rPr>
        <w:t xml:space="preserve">with the unwavering support of our publisher, </w:t>
      </w:r>
      <w:r w:rsidR="00DE1AED">
        <w:rPr>
          <w:sz w:val="24"/>
          <w:szCs w:val="24"/>
        </w:rPr>
        <w:t>our purpose became clearer</w:t>
      </w:r>
      <w:r w:rsidR="000F4B43">
        <w:rPr>
          <w:sz w:val="24"/>
          <w:szCs w:val="24"/>
        </w:rPr>
        <w:t>.  O</w:t>
      </w:r>
      <w:r w:rsidR="00D50D59">
        <w:rPr>
          <w:sz w:val="24"/>
          <w:szCs w:val="24"/>
        </w:rPr>
        <w:t xml:space="preserve">ur book need not </w:t>
      </w:r>
      <w:r w:rsidR="000F4B43">
        <w:rPr>
          <w:sz w:val="24"/>
          <w:szCs w:val="24"/>
        </w:rPr>
        <w:t xml:space="preserve">keep up with every wild </w:t>
      </w:r>
      <w:r w:rsidR="00E34728">
        <w:rPr>
          <w:sz w:val="24"/>
          <w:szCs w:val="24"/>
        </w:rPr>
        <w:t xml:space="preserve">swing </w:t>
      </w:r>
      <w:r w:rsidR="000F4B43">
        <w:rPr>
          <w:sz w:val="24"/>
          <w:szCs w:val="24"/>
        </w:rPr>
        <w:t xml:space="preserve">in the EJ landscape.  Our book was needed to provide </w:t>
      </w:r>
      <w:r w:rsidR="004A3E9D" w:rsidRPr="00AA6308">
        <w:rPr>
          <w:i/>
          <w:iCs/>
          <w:sz w:val="24"/>
          <w:szCs w:val="24"/>
        </w:rPr>
        <w:t>stability</w:t>
      </w:r>
      <w:r w:rsidR="004A3E9D">
        <w:rPr>
          <w:sz w:val="24"/>
          <w:szCs w:val="24"/>
        </w:rPr>
        <w:t xml:space="preserve">, to capture knowledge, to share the lessons learned from 30+ years of work toward environmental justice in communities </w:t>
      </w:r>
      <w:r w:rsidR="008D1F23">
        <w:rPr>
          <w:sz w:val="24"/>
          <w:szCs w:val="24"/>
        </w:rPr>
        <w:t>across the country.</w:t>
      </w:r>
      <w:r w:rsidR="00777689">
        <w:rPr>
          <w:sz w:val="24"/>
          <w:szCs w:val="24"/>
        </w:rPr>
        <w:t xml:space="preserve">  </w:t>
      </w:r>
      <w:r w:rsidR="004A3E9D">
        <w:rPr>
          <w:sz w:val="24"/>
          <w:szCs w:val="24"/>
        </w:rPr>
        <w:t xml:space="preserve">If the federal government </w:t>
      </w:r>
      <w:r w:rsidR="0011489B">
        <w:rPr>
          <w:sz w:val="24"/>
          <w:szCs w:val="24"/>
        </w:rPr>
        <w:t xml:space="preserve">abdicated its leadership role in this space, </w:t>
      </w:r>
      <w:r w:rsidR="008D1F23">
        <w:rPr>
          <w:sz w:val="24"/>
          <w:szCs w:val="24"/>
        </w:rPr>
        <w:t xml:space="preserve">states, tribes, cities, and other levels of government </w:t>
      </w:r>
      <w:r w:rsidR="00777689">
        <w:rPr>
          <w:sz w:val="24"/>
          <w:szCs w:val="24"/>
        </w:rPr>
        <w:t xml:space="preserve">would step up and fill the void.  </w:t>
      </w:r>
      <w:r w:rsidR="000E1FE5">
        <w:rPr>
          <w:sz w:val="24"/>
          <w:szCs w:val="24"/>
        </w:rPr>
        <w:t>And already we see this happening, with exciting EJ advances in California, Washington, New York, New Jersey, Maryland, Minnesota, Chicago</w:t>
      </w:r>
      <w:r w:rsidR="009059D9">
        <w:rPr>
          <w:sz w:val="24"/>
          <w:szCs w:val="24"/>
        </w:rPr>
        <w:t xml:space="preserve">, and Houston.  </w:t>
      </w:r>
    </w:p>
    <w:p w14:paraId="60C587ED" w14:textId="4DE4FA2A" w:rsidR="00B74F4B" w:rsidRPr="00731FC1" w:rsidRDefault="00CE1901" w:rsidP="00B74F4B">
      <w:pPr>
        <w:ind w:right="540" w:firstLine="720"/>
        <w:jc w:val="both"/>
        <w:rPr>
          <w:smallCaps/>
          <w:sz w:val="24"/>
          <w:szCs w:val="24"/>
        </w:rPr>
      </w:pPr>
      <w:r>
        <w:rPr>
          <w:sz w:val="24"/>
          <w:szCs w:val="24"/>
        </w:rPr>
        <w:t>We also see major environmental organizations, including Earth</w:t>
      </w:r>
      <w:r w:rsidR="00C02FD9">
        <w:rPr>
          <w:sz w:val="24"/>
          <w:szCs w:val="24"/>
        </w:rPr>
        <w:t>justice</w:t>
      </w:r>
      <w:r w:rsidR="00A5487C">
        <w:rPr>
          <w:sz w:val="24"/>
          <w:szCs w:val="24"/>
        </w:rPr>
        <w:t xml:space="preserve"> and NRDC, regional organizations such the Southern Environmental Law Center, and </w:t>
      </w:r>
      <w:r w:rsidR="00295AFD">
        <w:rPr>
          <w:sz w:val="24"/>
          <w:szCs w:val="24"/>
        </w:rPr>
        <w:t>local</w:t>
      </w:r>
      <w:r w:rsidR="00A5487C">
        <w:rPr>
          <w:sz w:val="24"/>
          <w:szCs w:val="24"/>
        </w:rPr>
        <w:t xml:space="preserve"> organizations—too many to name</w:t>
      </w:r>
      <w:r w:rsidR="00295AFD">
        <w:rPr>
          <w:sz w:val="24"/>
          <w:szCs w:val="24"/>
        </w:rPr>
        <w:t xml:space="preserve">—reminding us that environmental justice has always been a grassroots movement, never </w:t>
      </w:r>
      <w:r w:rsidR="007F427B">
        <w:rPr>
          <w:sz w:val="24"/>
          <w:szCs w:val="24"/>
        </w:rPr>
        <w:t>dependent on government</w:t>
      </w:r>
      <w:r w:rsidR="00476CFD">
        <w:rPr>
          <w:sz w:val="24"/>
          <w:szCs w:val="24"/>
        </w:rPr>
        <w:t xml:space="preserve"> for validation or approval.  Environmental justice will continue </w:t>
      </w:r>
      <w:r w:rsidR="009B7D5D">
        <w:rPr>
          <w:sz w:val="24"/>
          <w:szCs w:val="24"/>
        </w:rPr>
        <w:t>forward</w:t>
      </w:r>
      <w:r w:rsidR="006008FD">
        <w:rPr>
          <w:sz w:val="24"/>
          <w:szCs w:val="24"/>
        </w:rPr>
        <w:t xml:space="preserve">, even in the darkest </w:t>
      </w:r>
      <w:r w:rsidR="00994623">
        <w:rPr>
          <w:sz w:val="24"/>
          <w:szCs w:val="24"/>
        </w:rPr>
        <w:t xml:space="preserve">political </w:t>
      </w:r>
      <w:r w:rsidR="006008FD">
        <w:rPr>
          <w:sz w:val="24"/>
          <w:szCs w:val="24"/>
        </w:rPr>
        <w:t>times</w:t>
      </w:r>
      <w:r w:rsidR="006F2F8C">
        <w:rPr>
          <w:sz w:val="24"/>
          <w:szCs w:val="24"/>
        </w:rPr>
        <w:t xml:space="preserve">.  And </w:t>
      </w:r>
      <w:r w:rsidR="00994623">
        <w:rPr>
          <w:sz w:val="24"/>
          <w:szCs w:val="24"/>
        </w:rPr>
        <w:t>our book</w:t>
      </w:r>
      <w:r w:rsidR="00933F08">
        <w:rPr>
          <w:sz w:val="24"/>
          <w:szCs w:val="24"/>
        </w:rPr>
        <w:t xml:space="preserve">, </w:t>
      </w:r>
      <w:r w:rsidR="00933F08" w:rsidRPr="00933F08">
        <w:rPr>
          <w:smallCaps/>
          <w:sz w:val="24"/>
          <w:szCs w:val="24"/>
        </w:rPr>
        <w:t>Environmental Justice:  Law, Policy &amp; Regulation, Fourth Edition</w:t>
      </w:r>
      <w:r w:rsidR="00933F08">
        <w:rPr>
          <w:sz w:val="24"/>
          <w:szCs w:val="24"/>
        </w:rPr>
        <w:t xml:space="preserve">, together with  </w:t>
      </w:r>
      <w:r w:rsidR="00214402">
        <w:rPr>
          <w:sz w:val="24"/>
          <w:szCs w:val="24"/>
        </w:rPr>
        <w:t>this Teacher’s Manual</w:t>
      </w:r>
      <w:r w:rsidR="00933F08">
        <w:rPr>
          <w:sz w:val="24"/>
          <w:szCs w:val="24"/>
        </w:rPr>
        <w:t xml:space="preserve">, </w:t>
      </w:r>
      <w:r w:rsidR="00214402">
        <w:rPr>
          <w:sz w:val="24"/>
          <w:szCs w:val="24"/>
        </w:rPr>
        <w:t xml:space="preserve">may </w:t>
      </w:r>
      <w:r w:rsidR="00F865BB">
        <w:rPr>
          <w:sz w:val="24"/>
          <w:szCs w:val="24"/>
        </w:rPr>
        <w:t>fill a</w:t>
      </w:r>
      <w:r w:rsidR="00397197">
        <w:rPr>
          <w:sz w:val="24"/>
          <w:szCs w:val="24"/>
        </w:rPr>
        <w:t xml:space="preserve"> crucial </w:t>
      </w:r>
      <w:r w:rsidR="00F865BB">
        <w:rPr>
          <w:sz w:val="24"/>
          <w:szCs w:val="24"/>
        </w:rPr>
        <w:t xml:space="preserve">role in helping to prepare the next generation of </w:t>
      </w:r>
      <w:r w:rsidR="00B74F4B">
        <w:rPr>
          <w:sz w:val="24"/>
          <w:szCs w:val="24"/>
        </w:rPr>
        <w:t xml:space="preserve">advocates for environmental justice.  </w:t>
      </w:r>
    </w:p>
    <w:p w14:paraId="1A4D0B06" w14:textId="56AB515C" w:rsidR="0070589C" w:rsidRPr="00731FC1" w:rsidRDefault="0070589C" w:rsidP="00103CDE">
      <w:pPr>
        <w:ind w:right="540" w:firstLine="360"/>
        <w:jc w:val="both"/>
        <w:rPr>
          <w:sz w:val="24"/>
          <w:szCs w:val="24"/>
        </w:rPr>
      </w:pPr>
      <w:r w:rsidRPr="00731FC1">
        <w:rPr>
          <w:sz w:val="24"/>
          <w:szCs w:val="24"/>
        </w:rPr>
        <w:t>Above all, we hope this book</w:t>
      </w:r>
      <w:r w:rsidR="00DD76CD">
        <w:rPr>
          <w:sz w:val="24"/>
          <w:szCs w:val="24"/>
        </w:rPr>
        <w:t xml:space="preserve"> </w:t>
      </w:r>
      <w:r w:rsidRPr="00731FC1">
        <w:rPr>
          <w:sz w:val="24"/>
          <w:szCs w:val="24"/>
        </w:rPr>
        <w:t xml:space="preserve">will inspire student imagination and ultimately help empower them to action in pursuit of environmental justice.  There are no shortages of injustice in any direction.  But scattered among (and within) the stories of hog farms and Hurricane Maria, Flint, Michigan, and the </w:t>
      </w:r>
      <w:r w:rsidR="00AB3F64">
        <w:rPr>
          <w:sz w:val="24"/>
          <w:szCs w:val="24"/>
        </w:rPr>
        <w:t>Byhalia</w:t>
      </w:r>
      <w:r w:rsidRPr="00731FC1">
        <w:rPr>
          <w:sz w:val="24"/>
          <w:szCs w:val="24"/>
        </w:rPr>
        <w:t xml:space="preserve"> Pipeline, you will find advocates for environmental justice fighting good fights – and </w:t>
      </w:r>
      <w:r w:rsidRPr="00731FC1">
        <w:rPr>
          <w:i/>
          <w:sz w:val="24"/>
          <w:szCs w:val="24"/>
        </w:rPr>
        <w:t>winning</w:t>
      </w:r>
      <w:r w:rsidRPr="00731FC1">
        <w:rPr>
          <w:sz w:val="24"/>
          <w:szCs w:val="24"/>
        </w:rPr>
        <w:t>.  This book is for the next generation of advocates for environmental justice, the ones we teach today, the ones who will teach us tomorrow.</w:t>
      </w:r>
    </w:p>
    <w:p w14:paraId="624AF129" w14:textId="1719579E" w:rsidR="0070589C" w:rsidRPr="00F20688" w:rsidRDefault="0070589C" w:rsidP="00D33119">
      <w:pPr>
        <w:ind w:right="540" w:firstLine="360"/>
        <w:jc w:val="both"/>
      </w:pPr>
      <w:r w:rsidRPr="00731FC1">
        <w:rPr>
          <w:sz w:val="24"/>
          <w:szCs w:val="24"/>
        </w:rPr>
        <w:t xml:space="preserve">As you put this book to work in the classroom, please reach out to the authors if you have questions or feedback for us at any time.  </w:t>
      </w:r>
      <w:r w:rsidR="00221BD9">
        <w:rPr>
          <w:sz w:val="24"/>
          <w:szCs w:val="24"/>
        </w:rPr>
        <w:t xml:space="preserve">We also hope you will make regular use of materials and weblinks collected and available to you in the companion website:  </w:t>
      </w:r>
      <w:hyperlink r:id="rId7" w:history="1">
        <w:r w:rsidR="00221BD9" w:rsidRPr="00D748F2">
          <w:rPr>
            <w:rStyle w:val="Hyperlink"/>
            <w:sz w:val="24"/>
            <w:szCs w:val="24"/>
          </w:rPr>
          <w:t>www.environmentaljusticebook.org</w:t>
        </w:r>
      </w:hyperlink>
      <w:r w:rsidR="00221BD9">
        <w:rPr>
          <w:sz w:val="24"/>
          <w:szCs w:val="24"/>
        </w:rPr>
        <w:t xml:space="preserve">.  </w:t>
      </w:r>
      <w:r w:rsidRPr="00731FC1">
        <w:rPr>
          <w:sz w:val="24"/>
          <w:szCs w:val="24"/>
        </w:rPr>
        <w:t>We are delighted that you have chosen to use this book and we remain committed to maintaining it with future updates to incorporate the latest materials and the very best of our collective experience</w:t>
      </w:r>
      <w:r w:rsidR="00DC49D3">
        <w:rPr>
          <w:sz w:val="24"/>
          <w:szCs w:val="24"/>
        </w:rPr>
        <w:t>, in any political environment</w:t>
      </w:r>
      <w:r w:rsidRPr="00731FC1">
        <w:rPr>
          <w:sz w:val="24"/>
          <w:szCs w:val="24"/>
        </w:rPr>
        <w:t>.</w:t>
      </w:r>
    </w:p>
    <w:p w14:paraId="701298B2" w14:textId="77777777" w:rsidR="0070589C" w:rsidRDefault="0070589C" w:rsidP="0070589C">
      <w:pPr>
        <w:jc w:val="center"/>
        <w:rPr>
          <w:sz w:val="32"/>
          <w:szCs w:val="32"/>
        </w:rPr>
      </w:pPr>
    </w:p>
    <w:p w14:paraId="1478C699" w14:textId="77777777" w:rsidR="0070589C" w:rsidRDefault="0070589C" w:rsidP="0070589C">
      <w:pPr>
        <w:widowControl/>
        <w:autoSpaceDE/>
        <w:autoSpaceDN/>
        <w:adjustRightInd/>
        <w:spacing w:after="160" w:line="259" w:lineRule="auto"/>
        <w:rPr>
          <w:b/>
          <w:bCs/>
          <w:sz w:val="32"/>
          <w:szCs w:val="32"/>
        </w:rPr>
      </w:pPr>
      <w:r>
        <w:rPr>
          <w:sz w:val="32"/>
          <w:szCs w:val="32"/>
        </w:rPr>
        <w:tab/>
      </w:r>
      <w:r>
        <w:rPr>
          <w:sz w:val="32"/>
          <w:szCs w:val="32"/>
        </w:rPr>
        <w:br w:type="page"/>
      </w:r>
    </w:p>
    <w:p w14:paraId="78679EA4" w14:textId="77777777" w:rsidR="0070589C" w:rsidRPr="00733FF8" w:rsidRDefault="0070589C" w:rsidP="0070589C">
      <w:pPr>
        <w:pStyle w:val="Heading1"/>
        <w:kinsoku w:val="0"/>
        <w:overflowPunct w:val="0"/>
        <w:spacing w:before="58"/>
        <w:ind w:left="0"/>
        <w:rPr>
          <w:sz w:val="32"/>
          <w:szCs w:val="32"/>
        </w:rPr>
      </w:pPr>
      <w:r w:rsidRPr="00733FF8">
        <w:rPr>
          <w:sz w:val="32"/>
          <w:szCs w:val="32"/>
        </w:rPr>
        <w:lastRenderedPageBreak/>
        <w:t>Chapter 1</w:t>
      </w:r>
    </w:p>
    <w:p w14:paraId="3A3DE939" w14:textId="77777777" w:rsidR="0070589C" w:rsidRPr="00733FF8" w:rsidRDefault="0070589C" w:rsidP="0070589C">
      <w:pPr>
        <w:rPr>
          <w:b/>
          <w:sz w:val="32"/>
          <w:szCs w:val="32"/>
        </w:rPr>
      </w:pPr>
    </w:p>
    <w:p w14:paraId="7428FC0E" w14:textId="77777777" w:rsidR="0070589C" w:rsidRPr="00733FF8" w:rsidRDefault="0070589C" w:rsidP="0070589C">
      <w:pPr>
        <w:rPr>
          <w:b/>
          <w:sz w:val="32"/>
          <w:szCs w:val="32"/>
        </w:rPr>
      </w:pPr>
      <w:r w:rsidRPr="00733FF8">
        <w:rPr>
          <w:b/>
          <w:sz w:val="32"/>
          <w:szCs w:val="32"/>
        </w:rPr>
        <w:t>An Introduction to Environmental Justice</w:t>
      </w:r>
    </w:p>
    <w:p w14:paraId="635AA8CF" w14:textId="77777777" w:rsidR="0070589C" w:rsidRDefault="0070589C" w:rsidP="0070589C">
      <w:pPr>
        <w:pStyle w:val="BodyText"/>
        <w:kinsoku w:val="0"/>
        <w:overflowPunct w:val="0"/>
        <w:rPr>
          <w:b/>
          <w:bCs/>
        </w:rPr>
      </w:pPr>
    </w:p>
    <w:p w14:paraId="280AF3A1" w14:textId="240E61D5" w:rsidR="0070589C" w:rsidRPr="00247DBD" w:rsidRDefault="0070589C" w:rsidP="0070589C">
      <w:pPr>
        <w:pStyle w:val="BodyText"/>
        <w:numPr>
          <w:ilvl w:val="0"/>
          <w:numId w:val="4"/>
        </w:numPr>
        <w:kinsoku w:val="0"/>
        <w:overflowPunct w:val="0"/>
        <w:ind w:right="897"/>
        <w:rPr>
          <w:b/>
        </w:rPr>
      </w:pPr>
      <w:r w:rsidRPr="00247DBD">
        <w:rPr>
          <w:b/>
        </w:rPr>
        <w:t xml:space="preserve"> </w:t>
      </w:r>
      <w:r w:rsidR="00CC0C45">
        <w:rPr>
          <w:b/>
        </w:rPr>
        <w:t>Environmental Injustice</w:t>
      </w:r>
    </w:p>
    <w:p w14:paraId="47312694" w14:textId="77777777" w:rsidR="0070589C" w:rsidRDefault="0070589C" w:rsidP="0070589C">
      <w:pPr>
        <w:pStyle w:val="BodyText"/>
        <w:kinsoku w:val="0"/>
        <w:overflowPunct w:val="0"/>
        <w:ind w:right="897"/>
        <w:jc w:val="both"/>
      </w:pPr>
    </w:p>
    <w:p w14:paraId="2B42B59B" w14:textId="6AE6F553" w:rsidR="00DF2153" w:rsidRDefault="000D4C84" w:rsidP="0070589C">
      <w:pPr>
        <w:pStyle w:val="BodyText"/>
        <w:kinsoku w:val="0"/>
        <w:overflowPunct w:val="0"/>
        <w:ind w:right="540" w:firstLine="720"/>
        <w:jc w:val="both"/>
      </w:pPr>
      <w:r>
        <w:t xml:space="preserve">Part A opens the chapter and the </w:t>
      </w:r>
      <w:r w:rsidR="00772790">
        <w:t xml:space="preserve">book </w:t>
      </w:r>
      <w:r w:rsidR="0070589C">
        <w:t>with</w:t>
      </w:r>
      <w:r w:rsidR="001C5CD6">
        <w:t xml:space="preserve"> notes</w:t>
      </w:r>
      <w:r w:rsidR="006E28F5">
        <w:t xml:space="preserve"> </w:t>
      </w:r>
      <w:r w:rsidR="006E0A63">
        <w:t>demonstrating</w:t>
      </w:r>
      <w:r w:rsidR="008B51B5">
        <w:t xml:space="preserve"> </w:t>
      </w:r>
      <w:r w:rsidR="0030503F">
        <w:t xml:space="preserve">the geographic </w:t>
      </w:r>
      <w:r w:rsidR="00B54415">
        <w:t xml:space="preserve">reach </w:t>
      </w:r>
      <w:r w:rsidR="001C5CD6">
        <w:t>o</w:t>
      </w:r>
      <w:r w:rsidR="00DB4D41">
        <w:t>f</w:t>
      </w:r>
      <w:r w:rsidR="001C5CD6">
        <w:t xml:space="preserve"> </w:t>
      </w:r>
      <w:r w:rsidR="00353D5C">
        <w:t xml:space="preserve">concerns for </w:t>
      </w:r>
      <w:r w:rsidR="001C5CD6">
        <w:t xml:space="preserve">environmental justice </w:t>
      </w:r>
      <w:r w:rsidR="006E28F5">
        <w:t>across the United States</w:t>
      </w:r>
      <w:r w:rsidR="00654EF0">
        <w:t xml:space="preserve">.  </w:t>
      </w:r>
      <w:r w:rsidR="008E0080">
        <w:t>From these notes, s</w:t>
      </w:r>
      <w:r w:rsidR="00426C0D">
        <w:t xml:space="preserve">tudents </w:t>
      </w:r>
      <w:r w:rsidR="003F58A8">
        <w:t xml:space="preserve">should see that there are </w:t>
      </w:r>
      <w:r w:rsidR="00457DA0">
        <w:t>likely cases</w:t>
      </w:r>
      <w:r w:rsidR="003F58A8">
        <w:t xml:space="preserve"> of environmental </w:t>
      </w:r>
      <w:r w:rsidR="00457DA0">
        <w:t xml:space="preserve">injustice in </w:t>
      </w:r>
      <w:r w:rsidR="003F0619">
        <w:t xml:space="preserve">any </w:t>
      </w:r>
      <w:r w:rsidR="000F68A0">
        <w:t xml:space="preserve">urban or rural </w:t>
      </w:r>
      <w:r w:rsidR="003F0619">
        <w:t xml:space="preserve">community near them.  </w:t>
      </w:r>
      <w:r w:rsidR="002371D4">
        <w:t xml:space="preserve">In addition to geographic distribution, the opening notes also demonstrate </w:t>
      </w:r>
      <w:r w:rsidR="006211CE">
        <w:t>a var</w:t>
      </w:r>
      <w:r w:rsidR="00422E27">
        <w:t>iety of</w:t>
      </w:r>
      <w:r w:rsidR="002371D4">
        <w:t xml:space="preserve"> </w:t>
      </w:r>
      <w:r w:rsidR="001B63F1">
        <w:t xml:space="preserve">concerns for </w:t>
      </w:r>
      <w:r w:rsidR="002371D4">
        <w:t>environmental justice, including</w:t>
      </w:r>
      <w:r w:rsidR="00866249">
        <w:t xml:space="preserve"> polluted</w:t>
      </w:r>
      <w:r w:rsidR="00D908EB">
        <w:t xml:space="preserve"> air</w:t>
      </w:r>
      <w:r w:rsidR="00E731E3">
        <w:t xml:space="preserve"> and </w:t>
      </w:r>
      <w:r w:rsidR="002371D4">
        <w:t>drinking water</w:t>
      </w:r>
      <w:r w:rsidR="00E731E3">
        <w:t xml:space="preserve">; exposure to </w:t>
      </w:r>
      <w:r w:rsidR="00A64C76">
        <w:t xml:space="preserve">pesticides and </w:t>
      </w:r>
      <w:r w:rsidR="00E731E3">
        <w:t>contaminated land</w:t>
      </w:r>
      <w:r w:rsidR="005446B7">
        <w:t>s</w:t>
      </w:r>
      <w:r w:rsidR="00A64C76">
        <w:t>;</w:t>
      </w:r>
      <w:r w:rsidR="00066F90">
        <w:t xml:space="preserve"> </w:t>
      </w:r>
      <w:r w:rsidR="007D53B2">
        <w:t xml:space="preserve">impacts on Indigenous and immigrant communities; </w:t>
      </w:r>
      <w:r w:rsidR="002206F0">
        <w:t xml:space="preserve">and the disproportionate impacts of climate change.  </w:t>
      </w:r>
    </w:p>
    <w:p w14:paraId="1E38846B" w14:textId="0BB6652F" w:rsidR="00DF2153" w:rsidRDefault="00A433BD" w:rsidP="0070589C">
      <w:pPr>
        <w:pStyle w:val="BodyText"/>
        <w:kinsoku w:val="0"/>
        <w:overflowPunct w:val="0"/>
        <w:ind w:right="540" w:firstLine="720"/>
        <w:jc w:val="both"/>
      </w:pPr>
      <w:r>
        <w:t xml:space="preserve">In a first class session, instructors may want to introduce the EJScreen GIS tool (removed from the EPA website in 2025 but preserved on the book website:  </w:t>
      </w:r>
      <w:hyperlink r:id="rId8" w:history="1">
        <w:r w:rsidRPr="00960827">
          <w:rPr>
            <w:rStyle w:val="Hyperlink"/>
          </w:rPr>
          <w:t>www.environmentaljusticebook.org</w:t>
        </w:r>
      </w:hyperlink>
      <w:r>
        <w:t xml:space="preserve">) to explore their own communities. </w:t>
      </w:r>
      <w:r w:rsidR="002371D4">
        <w:t xml:space="preserve"> </w:t>
      </w:r>
      <w:r w:rsidR="00A34E7F">
        <w:t xml:space="preserve">The instructor may demonstrate how to use </w:t>
      </w:r>
      <w:r w:rsidR="00822BD0">
        <w:t>EJScreen</w:t>
      </w:r>
      <w:r w:rsidR="00A34E7F">
        <w:t>, starting with an area they know to have significant EJ concerns</w:t>
      </w:r>
      <w:r w:rsidR="00352AED">
        <w:t xml:space="preserve"> (e.g., pollution </w:t>
      </w:r>
      <w:r w:rsidR="00AA17F1">
        <w:t xml:space="preserve">and demographic indices </w:t>
      </w:r>
      <w:r w:rsidR="00352AED">
        <w:t xml:space="preserve">above </w:t>
      </w:r>
      <w:r w:rsidR="00E66419">
        <w:t>8</w:t>
      </w:r>
      <w:r w:rsidR="00352AED">
        <w:t>0</w:t>
      </w:r>
      <w:r w:rsidR="00352AED" w:rsidRPr="00352AED">
        <w:rPr>
          <w:vertAlign w:val="superscript"/>
        </w:rPr>
        <w:t>th</w:t>
      </w:r>
      <w:r w:rsidR="00352AED">
        <w:t xml:space="preserve"> percentile</w:t>
      </w:r>
      <w:r w:rsidR="00E66419">
        <w:t>)</w:t>
      </w:r>
      <w:r w:rsidR="00A34E7F">
        <w:t xml:space="preserve">.  Then </w:t>
      </w:r>
      <w:r w:rsidR="00E66419">
        <w:t xml:space="preserve">ask </w:t>
      </w:r>
      <w:r w:rsidR="00822BD0">
        <w:t xml:space="preserve">students </w:t>
      </w:r>
      <w:r w:rsidR="0014120D">
        <w:t xml:space="preserve">to </w:t>
      </w:r>
      <w:r w:rsidR="00313189">
        <w:t>use EJScreen to explore a place they know</w:t>
      </w:r>
      <w:r w:rsidR="00BB6903">
        <w:t xml:space="preserve">, comparing their findings to their own experience.  How do they match?  What are the differences? </w:t>
      </w:r>
      <w:r w:rsidR="00E66419">
        <w:t xml:space="preserve">What are the important values and limitations of EJScreen </w:t>
      </w:r>
      <w:r w:rsidR="00874B49">
        <w:t>or any other GIS system</w:t>
      </w:r>
      <w:r w:rsidR="00D540E7">
        <w:t>?</w:t>
      </w:r>
      <w:r w:rsidR="00874B49">
        <w:t xml:space="preserve">  Emphasize </w:t>
      </w:r>
      <w:r w:rsidR="00D540E7">
        <w:t xml:space="preserve">the </w:t>
      </w:r>
      <w:r w:rsidR="00874B49">
        <w:t xml:space="preserve">continuing need for ground-truthing and </w:t>
      </w:r>
      <w:r w:rsidR="00DF2153">
        <w:t>consideration of community perspectives.</w:t>
      </w:r>
    </w:p>
    <w:p w14:paraId="738C2BB4" w14:textId="77777777" w:rsidR="00E664A3" w:rsidRDefault="00E664A3" w:rsidP="0070589C">
      <w:pPr>
        <w:pStyle w:val="BodyText"/>
        <w:kinsoku w:val="0"/>
        <w:overflowPunct w:val="0"/>
        <w:ind w:right="540" w:firstLine="720"/>
        <w:jc w:val="both"/>
      </w:pPr>
    </w:p>
    <w:p w14:paraId="314672B9" w14:textId="520481C4" w:rsidR="00E664A3" w:rsidRPr="00E664A3" w:rsidRDefault="00E664A3" w:rsidP="00E664A3">
      <w:pPr>
        <w:pStyle w:val="BodyText"/>
        <w:numPr>
          <w:ilvl w:val="0"/>
          <w:numId w:val="4"/>
        </w:numPr>
        <w:kinsoku w:val="0"/>
        <w:overflowPunct w:val="0"/>
        <w:ind w:right="540"/>
        <w:jc w:val="both"/>
        <w:rPr>
          <w:b/>
          <w:bCs/>
        </w:rPr>
      </w:pPr>
      <w:r w:rsidRPr="00E664A3">
        <w:rPr>
          <w:b/>
          <w:bCs/>
        </w:rPr>
        <w:t>“The Arc of the Moral Universe”</w:t>
      </w:r>
    </w:p>
    <w:p w14:paraId="3522FB5C" w14:textId="77777777" w:rsidR="00E664A3" w:rsidRDefault="00E664A3" w:rsidP="00E664A3">
      <w:pPr>
        <w:pStyle w:val="BodyText"/>
        <w:kinsoku w:val="0"/>
        <w:overflowPunct w:val="0"/>
        <w:ind w:left="720" w:right="540"/>
        <w:jc w:val="both"/>
      </w:pPr>
    </w:p>
    <w:p w14:paraId="43A1D35B" w14:textId="5953BBC2" w:rsidR="0070589C" w:rsidRDefault="00911605" w:rsidP="0070589C">
      <w:pPr>
        <w:pStyle w:val="BodyText"/>
        <w:kinsoku w:val="0"/>
        <w:overflowPunct w:val="0"/>
        <w:ind w:right="540" w:firstLine="720"/>
        <w:jc w:val="both"/>
      </w:pPr>
      <w:r>
        <w:t xml:space="preserve">Part B </w:t>
      </w:r>
      <w:r w:rsidR="00D731B0">
        <w:t xml:space="preserve">recounts some history of the EJ movement, </w:t>
      </w:r>
      <w:r w:rsidR="004F4E8C">
        <w:t xml:space="preserve">including the 1982 protest against the PCBs dump in Warren County, North Carolina.  </w:t>
      </w:r>
      <w:r w:rsidR="00E876A7">
        <w:t>Instructors may ask students to study the</w:t>
      </w:r>
      <w:r w:rsidR="0070589C">
        <w:t xml:space="preserve"> iconic image </w:t>
      </w:r>
      <w:r w:rsidR="00E876A7">
        <w:t>presented in Figure 1-1</w:t>
      </w:r>
      <w:r w:rsidR="006B1D88">
        <w:t xml:space="preserve">.  What do they see?  </w:t>
      </w:r>
      <w:r w:rsidR="0070589C">
        <w:t xml:space="preserve">Do they see roots of environmental justice in the civil rights movement of the 1960s?  Do they see an exercise of constitutional rights to free speech and to peaceable assembly?  Do they see grassroots activism?  Do they see the consequences of unrestrained technological development?  (PCBs do not occur in nature.)  Do they see the engagement of faith-based communities?  Do they see a rural community?  Do they see a multi-racial element?  </w:t>
      </w:r>
    </w:p>
    <w:p w14:paraId="323630DD" w14:textId="77777777" w:rsidR="0070589C" w:rsidRDefault="0070589C" w:rsidP="0070589C">
      <w:pPr>
        <w:pStyle w:val="BodyText"/>
        <w:kinsoku w:val="0"/>
        <w:overflowPunct w:val="0"/>
        <w:ind w:right="897" w:firstLine="360"/>
        <w:jc w:val="both"/>
      </w:pPr>
    </w:p>
    <w:p w14:paraId="63FD49DA" w14:textId="77777777" w:rsidR="0070589C" w:rsidRDefault="0070589C" w:rsidP="0070589C">
      <w:pPr>
        <w:pStyle w:val="BodyText"/>
        <w:kinsoku w:val="0"/>
        <w:overflowPunct w:val="0"/>
        <w:ind w:right="540" w:firstLine="720"/>
        <w:jc w:val="both"/>
      </w:pPr>
      <w:r>
        <w:t xml:space="preserve">The latter question could easily be overlooked.  Like popular conceptions of race discrimination itself, environmental justice – at least in its early days – could often be reduced to a dichotomy of black and white.  But as the iconic photo from Warren County reveals, environmental justice has never been so limited.  For background on the Warren County case, instructors may wish to review Eileen McGurty, </w:t>
      </w:r>
      <w:r w:rsidRPr="00E93388">
        <w:rPr>
          <w:smallCaps/>
        </w:rPr>
        <w:t>Transforming Environmentalism:  W</w:t>
      </w:r>
      <w:r>
        <w:rPr>
          <w:smallCaps/>
        </w:rPr>
        <w:t>arren</w:t>
      </w:r>
      <w:r w:rsidRPr="00E93388">
        <w:rPr>
          <w:smallCaps/>
        </w:rPr>
        <w:t xml:space="preserve"> County, PCBs, and </w:t>
      </w:r>
      <w:r>
        <w:rPr>
          <w:smallCaps/>
        </w:rPr>
        <w:t xml:space="preserve">the Origins of </w:t>
      </w:r>
      <w:r w:rsidRPr="00E93388">
        <w:rPr>
          <w:smallCaps/>
        </w:rPr>
        <w:t>Environmental Justice</w:t>
      </w:r>
      <w:r>
        <w:t xml:space="preserve"> (2007).  As reprinted in McGurty, the Warren County arrest records alone reveal a significant engagement of both black and white protesters, as well as Native Americans.  Accordingly, students should begin seeing environmental justice – however it may come to be defined – as not simply a movement to protect a certain race or class of people, but a movement to </w:t>
      </w:r>
      <w:r>
        <w:lastRenderedPageBreak/>
        <w:t xml:space="preserve">ensure the protection of </w:t>
      </w:r>
      <w:r w:rsidRPr="008206DA">
        <w:rPr>
          <w:i/>
        </w:rPr>
        <w:t>all</w:t>
      </w:r>
      <w:r>
        <w:t xml:space="preserve"> people, themselves and their future clients included.</w:t>
      </w:r>
    </w:p>
    <w:p w14:paraId="0707198C" w14:textId="77777777" w:rsidR="0070589C" w:rsidRDefault="0070589C" w:rsidP="0070589C">
      <w:pPr>
        <w:pStyle w:val="BodyText"/>
        <w:kinsoku w:val="0"/>
        <w:overflowPunct w:val="0"/>
        <w:ind w:right="897" w:firstLine="360"/>
        <w:jc w:val="both"/>
      </w:pPr>
    </w:p>
    <w:p w14:paraId="4C19A20B" w14:textId="78743A09" w:rsidR="009B6A45" w:rsidRDefault="0070589C" w:rsidP="0070589C">
      <w:pPr>
        <w:pStyle w:val="BodyText"/>
        <w:kinsoku w:val="0"/>
        <w:overflowPunct w:val="0"/>
        <w:ind w:right="540" w:firstLine="720"/>
        <w:jc w:val="both"/>
      </w:pPr>
      <w:r>
        <w:t xml:space="preserve">From this point, </w:t>
      </w:r>
      <w:r w:rsidR="00430227">
        <w:t xml:space="preserve">Part B </w:t>
      </w:r>
      <w:r w:rsidR="001652AC">
        <w:t xml:space="preserve">illustrates the </w:t>
      </w:r>
      <w:r w:rsidR="005C7E83">
        <w:t>waxing and waning of federal attention to environmental justice</w:t>
      </w:r>
      <w:r w:rsidR="00C478E5">
        <w:t xml:space="preserve">, including </w:t>
      </w:r>
      <w:r w:rsidR="00744609">
        <w:t>unprec</w:t>
      </w:r>
      <w:r w:rsidR="00B57064">
        <w:t xml:space="preserve">edented support </w:t>
      </w:r>
      <w:r w:rsidR="00744609">
        <w:t>during the Biden administration and attempted elimination during the second Trump administration.</w:t>
      </w:r>
      <w:r w:rsidR="00A83C47">
        <w:t xml:space="preserve"> </w:t>
      </w:r>
      <w:r w:rsidR="009B4A3A">
        <w:t xml:space="preserve">To help students from falling into despair </w:t>
      </w:r>
      <w:r w:rsidR="002E6542">
        <w:t>with the latest turn, t</w:t>
      </w:r>
      <w:r w:rsidR="00A83C47">
        <w:t xml:space="preserve">he image of the Edmund Pettus Bridge in Figure 1-2 </w:t>
      </w:r>
      <w:r w:rsidR="002E6542">
        <w:t xml:space="preserve">and </w:t>
      </w:r>
      <w:r w:rsidR="006C362F">
        <w:t xml:space="preserve">connection </w:t>
      </w:r>
      <w:r w:rsidR="00BA13C1">
        <w:t xml:space="preserve">to </w:t>
      </w:r>
      <w:r w:rsidR="006C362F">
        <w:t xml:space="preserve">the words and actions of Dr. Martin Luther King, Jr., </w:t>
      </w:r>
      <w:r w:rsidR="00744609">
        <w:t xml:space="preserve"> </w:t>
      </w:r>
      <w:r w:rsidR="00BA13C1">
        <w:t xml:space="preserve">may help remind students of graves battles fought and won in the past.  </w:t>
      </w:r>
      <w:r w:rsidR="00A925E1">
        <w:t>Students will also find reminders of the important role that states</w:t>
      </w:r>
      <w:r w:rsidR="00C8420E">
        <w:t xml:space="preserve">, tribes, cities, and other authorities may play in </w:t>
      </w:r>
      <w:r w:rsidR="00EF614A">
        <w:t xml:space="preserve">continuing the pursuit of environmental justice, even in the absence of federal leadership.  </w:t>
      </w:r>
      <w:r w:rsidR="001627CE">
        <w:t xml:space="preserve">Most importantly, as this section concludes, students should know there are things they can do </w:t>
      </w:r>
      <w:r w:rsidR="009B6A45">
        <w:t xml:space="preserve">to promote environmental justice, as will be explored </w:t>
      </w:r>
      <w:r w:rsidR="00C96FC9">
        <w:t xml:space="preserve">each chapter of </w:t>
      </w:r>
      <w:r w:rsidR="009B6A45">
        <w:t>the book.</w:t>
      </w:r>
    </w:p>
    <w:p w14:paraId="3F63C95A" w14:textId="7E6C6AF2" w:rsidR="0070589C" w:rsidRDefault="009B6A45" w:rsidP="0070589C">
      <w:pPr>
        <w:pStyle w:val="BodyText"/>
        <w:kinsoku w:val="0"/>
        <w:overflowPunct w:val="0"/>
        <w:ind w:right="540" w:firstLine="720"/>
        <w:jc w:val="both"/>
      </w:pPr>
      <w:r>
        <w:t xml:space="preserve">Part B concludes with </w:t>
      </w:r>
      <w:r w:rsidR="0070589C">
        <w:t xml:space="preserve">the first of many </w:t>
      </w:r>
      <w:r w:rsidR="0070589C" w:rsidRPr="00F40585">
        <w:rPr>
          <w:i/>
        </w:rPr>
        <w:t>Pathfinders</w:t>
      </w:r>
      <w:r w:rsidR="0070589C">
        <w:t xml:space="preserve"> that students will find throughout the book.  The </w:t>
      </w:r>
      <w:r w:rsidR="0070589C" w:rsidRPr="00F40585">
        <w:rPr>
          <w:i/>
        </w:rPr>
        <w:t>Pathfinders</w:t>
      </w:r>
      <w:r w:rsidR="0070589C">
        <w:t xml:space="preserve"> serve many purposes, including as a bibliography and starting point for research that your students may undertake in the course of preparing a seminar paper.  The </w:t>
      </w:r>
      <w:r w:rsidR="0070589C" w:rsidRPr="00F40585">
        <w:rPr>
          <w:i/>
        </w:rPr>
        <w:t>Pathfinders</w:t>
      </w:r>
      <w:r w:rsidR="0070589C">
        <w:t xml:space="preserve"> are not intended to represent a complete catalogue of all published writing on a topic, but are intended to reflect the breadth of issues that may fall within the general subject matters addressed in each chapter.  Perusing the titles of the articles included in the </w:t>
      </w:r>
      <w:r w:rsidR="0070589C" w:rsidRPr="00F40585">
        <w:rPr>
          <w:i/>
        </w:rPr>
        <w:t>Pathfinders</w:t>
      </w:r>
      <w:r w:rsidR="0070589C">
        <w:t xml:space="preserve"> may provide students with some ideas for developing their own paper topics.  The </w:t>
      </w:r>
      <w:r w:rsidR="0070589C" w:rsidRPr="00F40585">
        <w:rPr>
          <w:i/>
        </w:rPr>
        <w:t>Pathfinders</w:t>
      </w:r>
      <w:r w:rsidR="0070589C">
        <w:t xml:space="preserve"> also reflect many of the scholars historically or currently active in the diverse areas of environmental justice, offering students another entry point for their own research interests. </w:t>
      </w:r>
    </w:p>
    <w:p w14:paraId="723055B0" w14:textId="77777777" w:rsidR="0070589C" w:rsidRPr="00324C96" w:rsidRDefault="0070589C" w:rsidP="0070589C">
      <w:pPr>
        <w:pStyle w:val="BodyText"/>
        <w:kinsoku w:val="0"/>
        <w:overflowPunct w:val="0"/>
        <w:ind w:right="897"/>
        <w:jc w:val="both"/>
      </w:pPr>
    </w:p>
    <w:p w14:paraId="43543287" w14:textId="77777777" w:rsidR="0070589C" w:rsidRPr="00247DBD" w:rsidRDefault="0070589C" w:rsidP="0070589C">
      <w:pPr>
        <w:pStyle w:val="BodyText"/>
        <w:numPr>
          <w:ilvl w:val="0"/>
          <w:numId w:val="4"/>
        </w:numPr>
        <w:kinsoku w:val="0"/>
        <w:overflowPunct w:val="0"/>
        <w:ind w:right="897"/>
        <w:jc w:val="both"/>
        <w:rPr>
          <w:b/>
        </w:rPr>
      </w:pPr>
      <w:r w:rsidRPr="00247DBD">
        <w:rPr>
          <w:b/>
        </w:rPr>
        <w:t>The Meaning of “Environmental Justice”</w:t>
      </w:r>
    </w:p>
    <w:p w14:paraId="10234CF9" w14:textId="77777777" w:rsidR="0070589C" w:rsidRPr="00324C96" w:rsidRDefault="0070589C" w:rsidP="0070589C">
      <w:pPr>
        <w:pStyle w:val="BodyText"/>
        <w:kinsoku w:val="0"/>
        <w:overflowPunct w:val="0"/>
        <w:ind w:right="897"/>
        <w:jc w:val="both"/>
      </w:pPr>
    </w:p>
    <w:p w14:paraId="354C9D76" w14:textId="77777777" w:rsidR="0070589C" w:rsidRPr="00324C96" w:rsidRDefault="0070589C" w:rsidP="0070589C">
      <w:pPr>
        <w:pStyle w:val="BodyText"/>
        <w:kinsoku w:val="0"/>
        <w:overflowPunct w:val="0"/>
        <w:ind w:right="540" w:firstLine="720"/>
        <w:jc w:val="both"/>
      </w:pPr>
      <w:r w:rsidRPr="00324C96">
        <w:t xml:space="preserve">This section introduces one of the most challenging questions for environmental justice, namely, </w:t>
      </w:r>
      <w:r>
        <w:t>w</w:t>
      </w:r>
      <w:r w:rsidRPr="005624A8">
        <w:t>hat do we mean by</w:t>
      </w:r>
      <w:r w:rsidRPr="00324C96">
        <w:rPr>
          <w:i/>
        </w:rPr>
        <w:t xml:space="preserve"> Environmental Justice?</w:t>
      </w:r>
      <w:r w:rsidRPr="00324C96">
        <w:t xml:space="preserve">  </w:t>
      </w:r>
    </w:p>
    <w:p w14:paraId="574189C3" w14:textId="77777777" w:rsidR="0070589C" w:rsidRPr="00324C96" w:rsidRDefault="0070589C" w:rsidP="0070589C">
      <w:pPr>
        <w:pStyle w:val="BodyText"/>
        <w:kinsoku w:val="0"/>
        <w:overflowPunct w:val="0"/>
        <w:ind w:right="897" w:firstLine="360"/>
        <w:jc w:val="both"/>
      </w:pPr>
    </w:p>
    <w:p w14:paraId="084EEC23" w14:textId="6E2D8E57" w:rsidR="0070589C" w:rsidRPr="00670FB7" w:rsidRDefault="0070589C" w:rsidP="0070589C">
      <w:pPr>
        <w:pStyle w:val="BodyText"/>
        <w:ind w:right="540" w:firstLine="720"/>
        <w:jc w:val="both"/>
      </w:pPr>
      <w:r w:rsidRPr="00324C96">
        <w:t>This section opens with an influential article by Professor Robert Kuehn, who examines some of the early efforts to address concerns for environmental justice through terms</w:t>
      </w:r>
      <w:r>
        <w:t xml:space="preserve"> such</w:t>
      </w:r>
      <w:r w:rsidRPr="00324C96">
        <w:t xml:space="preserve"> as “environmental racism” and “environmental equity.”  Students should be invited here to consider the relative advantages and disadvantages of each term, recognizing that they are not necessarily mutually exclusive.  The Kuehn article also introduces many of the early canonical cases of environmental injustice, including Chester, Pennsylvania; Shintech in Louisiana; West Dallas, Texas; and Kettleman City, California.  For background on Chester, see</w:t>
      </w:r>
      <w:r>
        <w:t xml:space="preserve"> Sheila Foster, </w:t>
      </w:r>
      <w:r w:rsidRPr="00304E77">
        <w:rPr>
          <w:i/>
          <w:iCs/>
        </w:rPr>
        <w:t>Justice from the Ground Up: Distributive Inequities, Grassroots Resistance, and the Transformative Politics of the Environmental Justice Movement</w:t>
      </w:r>
      <w:r>
        <w:t xml:space="preserve">, </w:t>
      </w:r>
      <w:r w:rsidRPr="00304E77">
        <w:rPr>
          <w:smallCaps/>
        </w:rPr>
        <w:t>86 Cal. L. Rev. 775</w:t>
      </w:r>
      <w:r>
        <w:t xml:space="preserve"> (1998).</w:t>
      </w:r>
      <w:r w:rsidRPr="00324C96">
        <w:t xml:space="preserve">  For background on Shintech, see Oliver A. Houck, </w:t>
      </w:r>
      <w:r w:rsidRPr="00324C96">
        <w:rPr>
          <w:i/>
        </w:rPr>
        <w:t>Shintech: Environmental Justice at Ground Zero</w:t>
      </w:r>
      <w:r w:rsidRPr="00324C96">
        <w:t xml:space="preserve">, </w:t>
      </w:r>
      <w:r w:rsidRPr="00670FB7">
        <w:t xml:space="preserve">31 </w:t>
      </w:r>
      <w:r w:rsidRPr="00670FB7">
        <w:rPr>
          <w:smallCaps/>
        </w:rPr>
        <w:t>Geo. Envtl. L. Rev</w:t>
      </w:r>
      <w:r w:rsidRPr="00670FB7">
        <w:t>. 455 (2019)</w:t>
      </w:r>
      <w:r>
        <w:t xml:space="preserve">.  </w:t>
      </w:r>
      <w:r w:rsidRPr="00670FB7">
        <w:t xml:space="preserve">For background on West Dallas, see </w:t>
      </w:r>
      <w:r w:rsidRPr="00670FB7">
        <w:rPr>
          <w:smallCaps/>
        </w:rPr>
        <w:t>Robert D. Bullard, Dumping in Dixie: Race, Class, and Environmental Quality</w:t>
      </w:r>
      <w:r w:rsidRPr="00670FB7">
        <w:t xml:space="preserve"> (1990).  For background on Kettleman City, see </w:t>
      </w:r>
      <w:r>
        <w:t>the excerpt from the Luke Cole article in Chapter 1</w:t>
      </w:r>
      <w:r w:rsidR="00A32251">
        <w:t>2</w:t>
      </w:r>
      <w:r>
        <w:t xml:space="preserve">; see also, </w:t>
      </w:r>
      <w:r w:rsidRPr="00670FB7">
        <w:rPr>
          <w:smallCaps/>
        </w:rPr>
        <w:t>Luke Cole &amp; Sheila Foster, From the Ground Up: Environmental Racism and the Rise of the Environmental Justice Movement</w:t>
      </w:r>
      <w:r>
        <w:t xml:space="preserve"> (2001).</w:t>
      </w:r>
    </w:p>
    <w:p w14:paraId="56C5BC93" w14:textId="77777777" w:rsidR="0070589C" w:rsidRPr="00324C96" w:rsidRDefault="0070589C" w:rsidP="0070589C">
      <w:pPr>
        <w:pStyle w:val="BodyText"/>
        <w:kinsoku w:val="0"/>
        <w:overflowPunct w:val="0"/>
        <w:ind w:right="897" w:firstLine="360"/>
        <w:jc w:val="both"/>
      </w:pPr>
    </w:p>
    <w:p w14:paraId="7AE046A4" w14:textId="1DC4DD91" w:rsidR="0070589C" w:rsidRDefault="0070589C" w:rsidP="0070589C">
      <w:pPr>
        <w:pStyle w:val="BodyText"/>
        <w:kinsoku w:val="0"/>
        <w:overflowPunct w:val="0"/>
        <w:ind w:right="540" w:firstLine="720"/>
        <w:jc w:val="both"/>
      </w:pPr>
      <w:r w:rsidRPr="00324C96">
        <w:lastRenderedPageBreak/>
        <w:t>Perhaps most importantly, the Kuehn article introduces a framework for considering environmental justice through four</w:t>
      </w:r>
      <w:r>
        <w:t xml:space="preserve"> dimensions:  </w:t>
      </w:r>
      <w:r w:rsidRPr="00A95765">
        <w:rPr>
          <w:b/>
        </w:rPr>
        <w:t>distributive justice</w:t>
      </w:r>
      <w:r>
        <w:t xml:space="preserve">, </w:t>
      </w:r>
      <w:r w:rsidRPr="00A95765">
        <w:rPr>
          <w:b/>
        </w:rPr>
        <w:t>procedural justice</w:t>
      </w:r>
      <w:r>
        <w:t xml:space="preserve">, </w:t>
      </w:r>
      <w:r w:rsidRPr="00A95765">
        <w:rPr>
          <w:b/>
        </w:rPr>
        <w:t>corrective justice</w:t>
      </w:r>
      <w:r>
        <w:t xml:space="preserve">, and </w:t>
      </w:r>
      <w:r w:rsidRPr="00A95765">
        <w:rPr>
          <w:b/>
        </w:rPr>
        <w:t>social justice</w:t>
      </w:r>
      <w:r>
        <w:t xml:space="preserve">.  These four dimensions may provide a useful analytical framework when considering environmental justice concerns throughout the book, meriting early investment in discussion of these dimensions.  For discussion purposes, it may help to place these dimensions in the context of one or more of the five hypotheticals </w:t>
      </w:r>
      <w:r w:rsidR="00C653F2">
        <w:t>starting on page 25</w:t>
      </w:r>
      <w:r>
        <w:t>.  For example, in the second hypothetical, concerning a contaminated home in a poor, largely Latino neighborhood, students might consider the following:</w:t>
      </w:r>
    </w:p>
    <w:p w14:paraId="0902E95C" w14:textId="77777777" w:rsidR="0070589C" w:rsidRDefault="0070589C" w:rsidP="0070589C">
      <w:pPr>
        <w:pStyle w:val="BodyText"/>
        <w:kinsoku w:val="0"/>
        <w:overflowPunct w:val="0"/>
        <w:ind w:right="897" w:firstLine="360"/>
        <w:jc w:val="both"/>
      </w:pPr>
    </w:p>
    <w:p w14:paraId="4FBF1190" w14:textId="77777777" w:rsidR="0070589C" w:rsidRDefault="0070589C" w:rsidP="0070589C">
      <w:pPr>
        <w:pStyle w:val="BodyText"/>
        <w:kinsoku w:val="0"/>
        <w:overflowPunct w:val="0"/>
        <w:ind w:right="540" w:firstLine="360"/>
        <w:jc w:val="both"/>
      </w:pPr>
      <w:r w:rsidRPr="005841AB">
        <w:rPr>
          <w:b/>
        </w:rPr>
        <w:t>Distributive justice:</w:t>
      </w:r>
      <w:r>
        <w:t xml:space="preserve">  Should the demographics of the neighborhood or the value of the home make any difference in whether or to what extent the EPA decides to clean it up?  </w:t>
      </w:r>
    </w:p>
    <w:p w14:paraId="7011A26B" w14:textId="77777777" w:rsidR="0070589C" w:rsidRDefault="0070589C" w:rsidP="0070589C">
      <w:pPr>
        <w:pStyle w:val="BodyText"/>
        <w:kinsoku w:val="0"/>
        <w:overflowPunct w:val="0"/>
        <w:ind w:right="897" w:firstLine="360"/>
        <w:jc w:val="both"/>
      </w:pPr>
    </w:p>
    <w:p w14:paraId="6F90CC4B" w14:textId="77777777" w:rsidR="0070589C" w:rsidRDefault="0070589C" w:rsidP="0070589C">
      <w:pPr>
        <w:pStyle w:val="BodyText"/>
        <w:kinsoku w:val="0"/>
        <w:overflowPunct w:val="0"/>
        <w:ind w:right="540" w:firstLine="360"/>
        <w:jc w:val="both"/>
      </w:pPr>
      <w:r w:rsidRPr="005841AB">
        <w:rPr>
          <w:b/>
        </w:rPr>
        <w:t>Procedural justice:</w:t>
      </w:r>
      <w:r>
        <w:t xml:space="preserve">  If the EPA is committed to involving the neighborhood in the cleanup, what should that process look like?</w:t>
      </w:r>
    </w:p>
    <w:p w14:paraId="20FA48F7" w14:textId="77777777" w:rsidR="0070589C" w:rsidRDefault="0070589C" w:rsidP="0070589C">
      <w:pPr>
        <w:pStyle w:val="BodyText"/>
        <w:kinsoku w:val="0"/>
        <w:overflowPunct w:val="0"/>
        <w:ind w:right="897" w:firstLine="360"/>
        <w:jc w:val="both"/>
      </w:pPr>
    </w:p>
    <w:p w14:paraId="3CCDFEFA" w14:textId="77777777" w:rsidR="0070589C" w:rsidRDefault="0070589C" w:rsidP="0070589C">
      <w:pPr>
        <w:pStyle w:val="BodyText"/>
        <w:kinsoku w:val="0"/>
        <w:overflowPunct w:val="0"/>
        <w:ind w:right="540" w:firstLine="360"/>
        <w:jc w:val="both"/>
      </w:pPr>
      <w:r w:rsidRPr="005841AB">
        <w:rPr>
          <w:b/>
        </w:rPr>
        <w:t>Corrective justice:</w:t>
      </w:r>
      <w:r>
        <w:t xml:space="preserve">  If the contamination was caused by two young children who live in subsidized housing, should that in any way affect the cleanup or subsequent efforts by the EPA to recover its cleanup costs?</w:t>
      </w:r>
    </w:p>
    <w:p w14:paraId="45BB8F17" w14:textId="77777777" w:rsidR="0070589C" w:rsidRDefault="0070589C" w:rsidP="0070589C">
      <w:pPr>
        <w:pStyle w:val="BodyText"/>
        <w:kinsoku w:val="0"/>
        <w:overflowPunct w:val="0"/>
        <w:ind w:right="897" w:firstLine="360"/>
        <w:jc w:val="both"/>
      </w:pPr>
    </w:p>
    <w:p w14:paraId="476D5021" w14:textId="77777777" w:rsidR="0070589C" w:rsidRDefault="0070589C" w:rsidP="0070589C">
      <w:pPr>
        <w:pStyle w:val="BodyText"/>
        <w:kinsoku w:val="0"/>
        <w:overflowPunct w:val="0"/>
        <w:ind w:right="540" w:firstLine="360"/>
        <w:jc w:val="both"/>
      </w:pPr>
      <w:r w:rsidRPr="005841AB">
        <w:rPr>
          <w:b/>
        </w:rPr>
        <w:t>Social justice:</w:t>
      </w:r>
      <w:r>
        <w:t xml:space="preserve">  If, instead of cleaning up the contaminated house, the EPA decides it would be much cheaper to move the family to a mobile home on the edge of town, what might be the societal implications for leaving a contaminated property within a residential community?  What might be the impacts upon the relocated family?  Consider the losses in access to schools, workplaces, public transportation, family ties, and childcare.</w:t>
      </w:r>
    </w:p>
    <w:p w14:paraId="47A7D59C" w14:textId="77777777" w:rsidR="0070589C" w:rsidRDefault="0070589C" w:rsidP="0070589C">
      <w:pPr>
        <w:pStyle w:val="BodyText"/>
        <w:kinsoku w:val="0"/>
        <w:overflowPunct w:val="0"/>
        <w:ind w:right="897" w:firstLine="360"/>
        <w:jc w:val="both"/>
      </w:pPr>
    </w:p>
    <w:p w14:paraId="0CBA906D" w14:textId="77777777" w:rsidR="0070589C" w:rsidRDefault="0070589C" w:rsidP="0070589C">
      <w:pPr>
        <w:pStyle w:val="BodyText"/>
        <w:kinsoku w:val="0"/>
        <w:overflowPunct w:val="0"/>
        <w:ind w:right="897" w:firstLine="360"/>
        <w:jc w:val="both"/>
        <w:rPr>
          <w:b/>
          <w:i/>
          <w:sz w:val="28"/>
          <w:szCs w:val="28"/>
        </w:rPr>
      </w:pPr>
    </w:p>
    <w:p w14:paraId="6C435566" w14:textId="77777777" w:rsidR="0070589C" w:rsidRPr="006201D9" w:rsidRDefault="0070589C" w:rsidP="0070589C">
      <w:pPr>
        <w:pStyle w:val="BodyText"/>
        <w:kinsoku w:val="0"/>
        <w:overflowPunct w:val="0"/>
        <w:ind w:right="897"/>
        <w:jc w:val="center"/>
        <w:rPr>
          <w:b/>
          <w:i/>
          <w:sz w:val="28"/>
          <w:szCs w:val="28"/>
        </w:rPr>
      </w:pPr>
      <w:r w:rsidRPr="006201D9">
        <w:rPr>
          <w:b/>
          <w:i/>
          <w:sz w:val="28"/>
          <w:szCs w:val="28"/>
        </w:rPr>
        <w:t>Notes and Questions</w:t>
      </w:r>
    </w:p>
    <w:p w14:paraId="6E3025E9" w14:textId="77777777" w:rsidR="0070589C" w:rsidRDefault="0070589C" w:rsidP="0070589C">
      <w:pPr>
        <w:pStyle w:val="BodyText"/>
        <w:kinsoku w:val="0"/>
        <w:overflowPunct w:val="0"/>
        <w:ind w:right="897"/>
        <w:jc w:val="both"/>
      </w:pPr>
    </w:p>
    <w:p w14:paraId="0DF027B4" w14:textId="2DC59432" w:rsidR="005964D8" w:rsidRDefault="007078B7" w:rsidP="005964D8">
      <w:pPr>
        <w:pStyle w:val="BodyText"/>
        <w:kinsoku w:val="0"/>
        <w:overflowPunct w:val="0"/>
        <w:ind w:right="540" w:firstLine="720"/>
        <w:jc w:val="both"/>
      </w:pPr>
      <w:r>
        <w:rPr>
          <w:b/>
        </w:rPr>
        <w:t xml:space="preserve">1. </w:t>
      </w:r>
      <w:r w:rsidR="00311823">
        <w:rPr>
          <w:b/>
        </w:rPr>
        <w:t xml:space="preserve">Scholarly conceptions </w:t>
      </w:r>
      <w:r w:rsidR="0070589C" w:rsidRPr="001A329A">
        <w:rPr>
          <w:b/>
        </w:rPr>
        <w:t xml:space="preserve">of </w:t>
      </w:r>
      <w:r w:rsidR="00311823">
        <w:rPr>
          <w:b/>
        </w:rPr>
        <w:t>“</w:t>
      </w:r>
      <w:r w:rsidR="0070589C" w:rsidRPr="001A329A">
        <w:rPr>
          <w:b/>
        </w:rPr>
        <w:t>environmental justice.</w:t>
      </w:r>
      <w:r w:rsidR="00311823">
        <w:rPr>
          <w:b/>
        </w:rPr>
        <w:t>”</w:t>
      </w:r>
      <w:r w:rsidR="0070589C">
        <w:t xml:space="preserve"> </w:t>
      </w:r>
      <w:r w:rsidR="005964D8">
        <w:t>Recognizing that</w:t>
      </w:r>
      <w:r w:rsidR="005964D8" w:rsidRPr="00831D45">
        <w:t xml:space="preserve"> environmental justice began as and ultimately remains a decentralized, grassroots movement, it should be no surprise that many definitions of “environmental justice” abound.  One early definition, suggested by EJ scholar Bunyan Bryant of the University of Michigan, is presented in this note for consideration.  Note that the Bryant definition, like the EPA definition, does not appear limited to any subset of a population; it simply applies to “people.”  The Bryant definition offers no clear analogues to “fair treatment” or “meaningful involvement.”  Instead, it proposes the overarching goal of “sustainable communities, where people can interact with confidence that their environment is safe, nurturing, and protective.”  While Bryant’s definition has been widely cited, it has not been widely embraced in practice.  One concern raised by Bryant’s definition is that community members may “interact with confidence that their environment is safe” even when their environment is demonstrably not safe.</w:t>
      </w:r>
      <w:r w:rsidR="005964D8">
        <w:t xml:space="preserve">  This may be particularly true in communities dominated by an industry that employs a significant share of the population, as in many current or former mining towns in the West.</w:t>
      </w:r>
    </w:p>
    <w:p w14:paraId="512FEBB9" w14:textId="77777777" w:rsidR="005964D8" w:rsidRDefault="005964D8" w:rsidP="005964D8">
      <w:pPr>
        <w:pStyle w:val="Header"/>
        <w:kinsoku w:val="0"/>
        <w:overflowPunct w:val="0"/>
        <w:ind w:right="897" w:firstLine="360"/>
        <w:jc w:val="both"/>
        <w:rPr>
          <w:rFonts w:ascii="Times New Roman" w:hAnsi="Times New Roman" w:cs="Times New Roman"/>
          <w:sz w:val="24"/>
          <w:szCs w:val="24"/>
        </w:rPr>
      </w:pPr>
    </w:p>
    <w:p w14:paraId="180AE0C8" w14:textId="0B407D89" w:rsidR="005964D8" w:rsidRDefault="005964D8" w:rsidP="007078B7">
      <w:pPr>
        <w:pStyle w:val="BodyText"/>
        <w:kinsoku w:val="0"/>
        <w:overflowPunct w:val="0"/>
        <w:ind w:right="540" w:firstLine="720"/>
        <w:jc w:val="both"/>
      </w:pPr>
      <w:r>
        <w:t>This note also reflects on the five-point framework for environmental justice suggested by Dr. Robert Bullard (</w:t>
      </w:r>
      <w:r w:rsidR="0039155F">
        <w:t xml:space="preserve">often recognized as </w:t>
      </w:r>
      <w:r>
        <w:t xml:space="preserve">the “Father of Environmental Justice”).  </w:t>
      </w:r>
      <w:r>
        <w:lastRenderedPageBreak/>
        <w:t xml:space="preserve">As described in the Kuehn excerpt, Bullard’s framework is exceptionally broad, including as just one component an objective to “protect all persons from environmental degradation.”  Notice here a direct parallel between Bullard’s “all persons” and EPA’s “all people.”  Notice also that Bullard’s framework appears to range well beyond environmental justice, to include solving intractable problems of race discrimination in the United States.  Bullard proposes to “obviate the requirement to prove intent to discriminate,” a requirement established by decades of Supreme Court precedent.  </w:t>
      </w:r>
      <w:r w:rsidRPr="00D83BC1">
        <w:rPr>
          <w:i/>
        </w:rPr>
        <w:t>See, e.g.,</w:t>
      </w:r>
      <w:r>
        <w:t xml:space="preserve"> Washington v. Davis (1976).  Is this a realistic goal for EJ advocates?  If this seems unrealistic, consider the famous “long game” of Thurgood Marshall, who spent decades building the legal precedents that ultimately resulted in Brown v. Board of Education (1954).  On the flipside, consider that some interests groups spent decades attempting to undo Supreme Court precedents such as Roe v. Wade (1973)</w:t>
      </w:r>
      <w:r w:rsidR="00E63C95">
        <w:t xml:space="preserve"> until succeeding with Dobbs</w:t>
      </w:r>
      <w:r w:rsidR="00E556EE">
        <w:t xml:space="preserve"> v. Jackson Women’s Health</w:t>
      </w:r>
      <w:r w:rsidR="00E63C95">
        <w:t xml:space="preserve"> in 2022</w:t>
      </w:r>
      <w:r>
        <w:t>.  Can EJ advocates similarly learn and engage in the “long game” to establish legal precedents to promote environmental justice?</w:t>
      </w:r>
    </w:p>
    <w:p w14:paraId="5B04B69E" w14:textId="77777777" w:rsidR="005964D8" w:rsidRDefault="005964D8" w:rsidP="007078B7">
      <w:pPr>
        <w:pStyle w:val="BodyText"/>
        <w:kinsoku w:val="0"/>
        <w:overflowPunct w:val="0"/>
        <w:ind w:right="540"/>
        <w:jc w:val="both"/>
      </w:pPr>
    </w:p>
    <w:p w14:paraId="482B3F39" w14:textId="64A46996" w:rsidR="0070589C" w:rsidRDefault="007078B7" w:rsidP="007078B7">
      <w:pPr>
        <w:pStyle w:val="BodyText"/>
        <w:kinsoku w:val="0"/>
        <w:overflowPunct w:val="0"/>
        <w:ind w:right="540" w:firstLine="720"/>
        <w:jc w:val="both"/>
      </w:pPr>
      <w:r w:rsidRPr="00755606">
        <w:rPr>
          <w:b/>
          <w:bCs/>
        </w:rPr>
        <w:t xml:space="preserve"> 2</w:t>
      </w:r>
      <w:r w:rsidR="00F43D33" w:rsidRPr="00755606">
        <w:rPr>
          <w:b/>
          <w:bCs/>
        </w:rPr>
        <w:t>.</w:t>
      </w:r>
      <w:r w:rsidRPr="00755606">
        <w:rPr>
          <w:b/>
          <w:bCs/>
        </w:rPr>
        <w:t xml:space="preserve"> </w:t>
      </w:r>
      <w:r w:rsidR="00B04920" w:rsidRPr="00755606">
        <w:rPr>
          <w:b/>
          <w:bCs/>
        </w:rPr>
        <w:t>Federal definitions of “environmental justice.”</w:t>
      </w:r>
      <w:r w:rsidR="00B04920">
        <w:t xml:space="preserve"> </w:t>
      </w:r>
      <w:r w:rsidR="0070589C">
        <w:t xml:space="preserve">This note introduces the EPA’s </w:t>
      </w:r>
      <w:r w:rsidR="00755606">
        <w:t xml:space="preserve">longstanding </w:t>
      </w:r>
      <w:r w:rsidR="0070589C">
        <w:t xml:space="preserve">definition of “environmental justice,” set off in the text box on page </w:t>
      </w:r>
      <w:r w:rsidR="00755606">
        <w:t>23</w:t>
      </w:r>
      <w:r w:rsidR="0070589C">
        <w:t xml:space="preserve">.  While </w:t>
      </w:r>
      <w:r w:rsidR="009E284F">
        <w:t xml:space="preserve">this definition </w:t>
      </w:r>
      <w:r w:rsidR="00697B3E">
        <w:t xml:space="preserve">was </w:t>
      </w:r>
      <w:r w:rsidR="00781A62">
        <w:t xml:space="preserve">deleted </w:t>
      </w:r>
      <w:r w:rsidR="009E284F">
        <w:t xml:space="preserve">from the EPA website </w:t>
      </w:r>
      <w:r w:rsidR="00F34C6F">
        <w:t xml:space="preserve">by the second Trump administration in 2025, it remains the </w:t>
      </w:r>
      <w:r w:rsidR="0070589C">
        <w:t xml:space="preserve">definition most commonly used by </w:t>
      </w:r>
      <w:r w:rsidR="00F036B5">
        <w:t xml:space="preserve">government </w:t>
      </w:r>
      <w:r w:rsidR="0070589C">
        <w:t xml:space="preserve">agencies (and the organizations that may receive funding from them).  For example, </w:t>
      </w:r>
      <w:r w:rsidR="00D424CE">
        <w:t>Cali</w:t>
      </w:r>
      <w:r w:rsidR="00D261E5">
        <w:t xml:space="preserve">fornia, New York, and Washington State all embrace </w:t>
      </w:r>
      <w:r w:rsidR="00C40605">
        <w:t xml:space="preserve">“fair treatment” and “meaningful involvement” </w:t>
      </w:r>
      <w:r w:rsidR="00CA6E36">
        <w:t xml:space="preserve">in state statutes defining </w:t>
      </w:r>
      <w:r w:rsidR="00B9278B">
        <w:t>“environmental justice</w:t>
      </w:r>
      <w:r w:rsidR="00CA6E36">
        <w:t>.</w:t>
      </w:r>
      <w:r w:rsidR="00B9278B">
        <w:t xml:space="preserve">” </w:t>
      </w:r>
      <w:r w:rsidR="00CA6E36">
        <w:t xml:space="preserve"> </w:t>
      </w:r>
      <w:r w:rsidR="00526688">
        <w:t>Cal</w:t>
      </w:r>
      <w:r w:rsidR="006A6ADA">
        <w:t>. Gov’t Code § 65040.12(e)</w:t>
      </w:r>
      <w:r w:rsidR="00F67762">
        <w:t xml:space="preserve"> (2021)</w:t>
      </w:r>
      <w:r w:rsidR="006A6ADA">
        <w:t xml:space="preserve">; </w:t>
      </w:r>
      <w:r w:rsidR="0070589C" w:rsidRPr="00816875">
        <w:t xml:space="preserve">New York A1564/S2385, codified at </w:t>
      </w:r>
      <w:r w:rsidR="0070589C" w:rsidRPr="00816875">
        <w:rPr>
          <w:smallCaps/>
        </w:rPr>
        <w:t>Envtl. Conserv. L.</w:t>
      </w:r>
      <w:r w:rsidR="0070589C" w:rsidRPr="00816875">
        <w:t xml:space="preserve"> art. 48 (2019)</w:t>
      </w:r>
      <w:r w:rsidR="00F67762">
        <w:t xml:space="preserve">; Washington Healthy Env’t for All Act, </w:t>
      </w:r>
      <w:r w:rsidR="002D0816">
        <w:t xml:space="preserve">S.5141 (2021). </w:t>
      </w:r>
      <w:r w:rsidR="0070589C">
        <w:t xml:space="preserve"> Accordingly, the EPA’s</w:t>
      </w:r>
      <w:r w:rsidR="004B361B">
        <w:t xml:space="preserve"> longstanding </w:t>
      </w:r>
      <w:r w:rsidR="0070589C">
        <w:t xml:space="preserve">definition of “environmental justice,” as presented in the text box, is the definition most often used in this book.  </w:t>
      </w:r>
    </w:p>
    <w:p w14:paraId="3E2556FB" w14:textId="77777777" w:rsidR="0070589C" w:rsidRDefault="0070589C" w:rsidP="0070589C">
      <w:pPr>
        <w:pStyle w:val="BodyText"/>
        <w:kinsoku w:val="0"/>
        <w:overflowPunct w:val="0"/>
        <w:ind w:right="897" w:firstLine="360"/>
        <w:jc w:val="both"/>
      </w:pPr>
    </w:p>
    <w:p w14:paraId="3986BCE4" w14:textId="6EDB53F4" w:rsidR="0070589C" w:rsidRDefault="0070589C" w:rsidP="0070589C">
      <w:pPr>
        <w:pStyle w:val="BodyText"/>
        <w:kinsoku w:val="0"/>
        <w:overflowPunct w:val="0"/>
        <w:ind w:right="540" w:firstLine="720"/>
        <w:jc w:val="both"/>
      </w:pPr>
      <w:r>
        <w:t xml:space="preserve">Be sure to note that the EPA’s EJ definition cited in the Kuehn article is an </w:t>
      </w:r>
      <w:r w:rsidRPr="00A81799">
        <w:rPr>
          <w:u w:val="single"/>
        </w:rPr>
        <w:t>old</w:t>
      </w:r>
      <w:r>
        <w:t xml:space="preserve"> definition that has not been used for more than 2</w:t>
      </w:r>
      <w:r w:rsidR="00552316">
        <w:t>5</w:t>
      </w:r>
      <w:r>
        <w:t xml:space="preserve"> years.  Note that the old definition included “fair treatment” but not “meaningful involvement.”  While “fair treatment” reflects concerns for distributive justice, the addition of “meaningful involvement” reflects growing concerns for procedural justice.  Together, “fair treatment” and “meaningful involvement” may serve as the twin pillars of environmental justice, providing an analytical tool that EJ students and practitioners may use for examining EJ issues in any context.</w:t>
      </w:r>
    </w:p>
    <w:p w14:paraId="01094B47" w14:textId="77777777" w:rsidR="0070589C" w:rsidRDefault="0070589C" w:rsidP="0070589C">
      <w:pPr>
        <w:pStyle w:val="BodyText"/>
        <w:kinsoku w:val="0"/>
        <w:overflowPunct w:val="0"/>
        <w:ind w:right="897" w:firstLine="360"/>
        <w:jc w:val="both"/>
      </w:pPr>
    </w:p>
    <w:p w14:paraId="5C998B1A" w14:textId="77777777" w:rsidR="0070589C" w:rsidRDefault="0070589C" w:rsidP="0070589C">
      <w:pPr>
        <w:pStyle w:val="BodyText"/>
        <w:kinsoku w:val="0"/>
        <w:overflowPunct w:val="0"/>
        <w:ind w:right="540" w:firstLine="720"/>
        <w:jc w:val="both"/>
      </w:pPr>
      <w:r>
        <w:t>Note also that EPA’s old definition of environmental justice included “development” and “enforcement,” but not the “implementation” of environmental laws, regulations, and policies.  Addition of “implementation” recognizes that most environmental practice occurs in between “development” (e.g., legislating, rulemaking) and “enforcement” (e.g., response to environmental violations through administrative orders, civil penalties, criminal prosecution, etc.).  For agencies such as the EPA and state counterparts, “implementation” includes, for example, writing air permits for industrial facilities under the Clean Air Act and selecting cleanup plans for contaminated sites under CERCLA.  These are activities where EJ advocates can (and do) engage to address environmental problems directly, rather than waiting for things to go wrong.</w:t>
      </w:r>
    </w:p>
    <w:p w14:paraId="097A5A03" w14:textId="77777777" w:rsidR="0070589C" w:rsidRDefault="0070589C" w:rsidP="0070589C">
      <w:pPr>
        <w:pStyle w:val="BodyText"/>
        <w:kinsoku w:val="0"/>
        <w:overflowPunct w:val="0"/>
        <w:ind w:right="897" w:firstLine="360"/>
        <w:jc w:val="both"/>
      </w:pPr>
    </w:p>
    <w:p w14:paraId="35DBE3CE" w14:textId="3A4E78D5" w:rsidR="0070589C" w:rsidRDefault="00805514" w:rsidP="0070589C">
      <w:pPr>
        <w:pStyle w:val="BodyText"/>
        <w:kinsoku w:val="0"/>
        <w:overflowPunct w:val="0"/>
        <w:ind w:right="540" w:firstLine="720"/>
        <w:jc w:val="both"/>
      </w:pPr>
      <w:r>
        <w:lastRenderedPageBreak/>
        <w:t>M</w:t>
      </w:r>
      <w:r w:rsidR="0070589C">
        <w:t>ost controversially, note that EPA’</w:t>
      </w:r>
      <w:r w:rsidR="00E66537">
        <w:t xml:space="preserve">s longstanding </w:t>
      </w:r>
      <w:r w:rsidR="0070589C">
        <w:t xml:space="preserve">definition of environmental justice extends its scope to “all people,” which may offer many advantages and disadvantages worthy of classroom discussion.  On the plus side, “all people” may recognize the potentially disparate impacts of environmental injustice experienced by women, children, the elderly, and LGBT communities.  All “people,” as opposed to all “citizens,” appears to include undocumented workers and residents in the United States.  All “people” also echoes language directly from the U.S. Constitution, where, for example, the First Amendment guarantees “the right of </w:t>
      </w:r>
      <w:r w:rsidR="0070589C" w:rsidRPr="007C3FE8">
        <w:rPr>
          <w:i/>
        </w:rPr>
        <w:t>the people</w:t>
      </w:r>
      <w:r w:rsidR="0070589C">
        <w:t xml:space="preserve"> peaceably to assemble,” and the Fourth Amendment guarantees “the right of </w:t>
      </w:r>
      <w:r w:rsidR="0070589C" w:rsidRPr="007C3FE8">
        <w:rPr>
          <w:i/>
        </w:rPr>
        <w:t>the people</w:t>
      </w:r>
      <w:r w:rsidR="0070589C">
        <w:t xml:space="preserve"> to be secure in their persons, houses, papers, and effects…” (emphasis added).  </w:t>
      </w:r>
    </w:p>
    <w:p w14:paraId="4FBF30F3" w14:textId="77777777" w:rsidR="0070589C" w:rsidRDefault="0070589C" w:rsidP="0070589C">
      <w:pPr>
        <w:pStyle w:val="BodyText"/>
        <w:kinsoku w:val="0"/>
        <w:overflowPunct w:val="0"/>
        <w:ind w:right="897" w:firstLine="360"/>
        <w:jc w:val="both"/>
      </w:pPr>
    </w:p>
    <w:p w14:paraId="5EE3BCD8" w14:textId="2FDFED93" w:rsidR="0070589C" w:rsidRDefault="0070589C" w:rsidP="00435B44">
      <w:pPr>
        <w:pStyle w:val="BodyText"/>
        <w:kinsoku w:val="0"/>
        <w:overflowPunct w:val="0"/>
        <w:ind w:right="540" w:firstLine="720"/>
        <w:jc w:val="both"/>
      </w:pPr>
      <w:r>
        <w:t xml:space="preserve">On the minus side, “all people” may tend to obscure the original focus of environmental justice on the poor and racial minorities, in the same way that “All Lives Matter” obscures the message of “Black Lives Matter.”  </w:t>
      </w:r>
      <w:r w:rsidR="00C7179D">
        <w:t>I</w:t>
      </w:r>
      <w:r>
        <w:t xml:space="preserve">n a different direction, “all people” may </w:t>
      </w:r>
      <w:r w:rsidR="00C7179D">
        <w:t xml:space="preserve">also </w:t>
      </w:r>
      <w:r>
        <w:t xml:space="preserve">be seen to limit environmental justice strictly to concerns for human life, to the exclusion of animal life and the natural world.  Further background and discussion of the “all people” controversy appears in Clifford J. Villa, </w:t>
      </w:r>
      <w:r w:rsidRPr="00831D45">
        <w:rPr>
          <w:i/>
        </w:rPr>
        <w:t>Remaking Environmental Justice</w:t>
      </w:r>
      <w:r w:rsidRPr="00831D45">
        <w:t xml:space="preserve">, </w:t>
      </w:r>
      <w:r w:rsidR="00435B44">
        <w:t>66</w:t>
      </w:r>
      <w:r w:rsidRPr="00831D45">
        <w:t xml:space="preserve"> </w:t>
      </w:r>
      <w:r w:rsidRPr="00831D45">
        <w:rPr>
          <w:smallCaps/>
        </w:rPr>
        <w:t>Loyola L. Rev.</w:t>
      </w:r>
      <w:r w:rsidRPr="00831D45">
        <w:t xml:space="preserve"> </w:t>
      </w:r>
      <w:r w:rsidR="00435B44">
        <w:t>469</w:t>
      </w:r>
      <w:r w:rsidRPr="00831D45">
        <w:t xml:space="preserve"> (2020).</w:t>
      </w:r>
    </w:p>
    <w:p w14:paraId="60004D8C" w14:textId="77777777" w:rsidR="00435B44" w:rsidRDefault="00435B44" w:rsidP="00435B44">
      <w:pPr>
        <w:pStyle w:val="BodyText"/>
        <w:kinsoku w:val="0"/>
        <w:overflowPunct w:val="0"/>
        <w:ind w:right="540" w:firstLine="720"/>
        <w:jc w:val="both"/>
      </w:pPr>
    </w:p>
    <w:p w14:paraId="0A971FD4" w14:textId="2133BCF3" w:rsidR="00435B44" w:rsidRDefault="00D83B87" w:rsidP="00435B44">
      <w:pPr>
        <w:pStyle w:val="BodyText"/>
        <w:kinsoku w:val="0"/>
        <w:overflowPunct w:val="0"/>
        <w:ind w:right="540" w:firstLine="720"/>
        <w:jc w:val="both"/>
      </w:pPr>
      <w:r>
        <w:t xml:space="preserve">In light of recent experience including the COVID-19 pandemic, continuing racial violence </w:t>
      </w:r>
      <w:r w:rsidR="00AA24B9">
        <w:t xml:space="preserve">exemplified by the police murder of George Floyd and many others, and the increasingly destructive impacts of climate change, many scholars </w:t>
      </w:r>
      <w:r w:rsidR="00CA7251">
        <w:t xml:space="preserve">around 2020 </w:t>
      </w:r>
      <w:r w:rsidR="00CD3446">
        <w:t xml:space="preserve">advocated for an updated definition of </w:t>
      </w:r>
      <w:r w:rsidR="00693CDE">
        <w:t>“</w:t>
      </w:r>
      <w:r w:rsidR="00CD3446">
        <w:t>environmental justice.</w:t>
      </w:r>
      <w:r w:rsidR="00693CDE">
        <w:t xml:space="preserve">” </w:t>
      </w:r>
      <w:r w:rsidR="00CD3446">
        <w:t xml:space="preserve"> </w:t>
      </w:r>
      <w:r w:rsidR="00CD3446" w:rsidRPr="00CA7251">
        <w:rPr>
          <w:i/>
          <w:iCs/>
        </w:rPr>
        <w:t>See id.</w:t>
      </w:r>
      <w:r w:rsidR="00CD3446">
        <w:t xml:space="preserve">  </w:t>
      </w:r>
      <w:r w:rsidR="00FC4D4A">
        <w:t>The text</w:t>
      </w:r>
      <w:r w:rsidR="00D937C9">
        <w:t xml:space="preserve"> box</w:t>
      </w:r>
      <w:r w:rsidR="00FC4D4A">
        <w:t xml:space="preserve"> on </w:t>
      </w:r>
      <w:r w:rsidR="00D937C9">
        <w:t xml:space="preserve">page 24 presents </w:t>
      </w:r>
      <w:r w:rsidR="00693CDE">
        <w:t xml:space="preserve">such </w:t>
      </w:r>
      <w:r w:rsidR="00D937C9">
        <w:t>an updated definition of “environmental justice” that applied to all federal agencies under Executive Order 14096, signed by President Biden in 2023</w:t>
      </w:r>
      <w:r w:rsidR="00CA2A71">
        <w:t>.  While this updated definition</w:t>
      </w:r>
      <w:r w:rsidR="00A00F5E">
        <w:t xml:space="preserve"> was quickly </w:t>
      </w:r>
      <w:r w:rsidR="00D937C9">
        <w:t>rescinded by President Trump in 2025</w:t>
      </w:r>
      <w:r w:rsidR="00A00F5E">
        <w:t xml:space="preserve">, the new ideas included within this updated definition remain worthy of continued study and application.  </w:t>
      </w:r>
      <w:r w:rsidR="008020C6">
        <w:t xml:space="preserve">For example, </w:t>
      </w:r>
      <w:r w:rsidR="0037252C">
        <w:t xml:space="preserve">“the legacy of racism” </w:t>
      </w:r>
      <w:r w:rsidR="00F00251">
        <w:t xml:space="preserve">may help </w:t>
      </w:r>
      <w:r w:rsidR="00B60B3B">
        <w:t xml:space="preserve">remind </w:t>
      </w:r>
      <w:r w:rsidR="00F00251">
        <w:t xml:space="preserve">students and practitioners </w:t>
      </w:r>
      <w:r w:rsidR="00B60B3B">
        <w:t xml:space="preserve">of </w:t>
      </w:r>
      <w:r w:rsidR="00F00251">
        <w:t xml:space="preserve">one original and </w:t>
      </w:r>
      <w:r w:rsidR="00B60B3B">
        <w:t xml:space="preserve">continuing concern for environmental justice. </w:t>
      </w:r>
      <w:r w:rsidR="00D94070">
        <w:t>Instructors may ask students how c</w:t>
      </w:r>
      <w:r w:rsidR="00B321DB">
        <w:t xml:space="preserve">onsiderations of “disability” and “cultural and subsistence practices” </w:t>
      </w:r>
      <w:r w:rsidR="00CE65F5">
        <w:t>shed new light on concerns for environmental justice.</w:t>
      </w:r>
      <w:r w:rsidR="00E5017F" w:rsidRPr="00E5017F">
        <w:t xml:space="preserve"> </w:t>
      </w:r>
      <w:r w:rsidR="00E5017F">
        <w:t xml:space="preserve">Concern for “cumulative impacts” – often described as the “Holy Grail” of risk assessment – will be further considered in Chapter 3.  </w:t>
      </w:r>
    </w:p>
    <w:p w14:paraId="2015A32C" w14:textId="77777777" w:rsidR="0070589C" w:rsidRPr="00831D45" w:rsidRDefault="0070589C" w:rsidP="0070589C">
      <w:pPr>
        <w:pStyle w:val="BodyText"/>
        <w:kinsoku w:val="0"/>
        <w:overflowPunct w:val="0"/>
        <w:ind w:right="897" w:firstLine="360"/>
        <w:jc w:val="both"/>
      </w:pPr>
    </w:p>
    <w:p w14:paraId="7921A406" w14:textId="232F9798" w:rsidR="0070589C" w:rsidRDefault="0070589C" w:rsidP="0070589C">
      <w:pPr>
        <w:pStyle w:val="BodyText"/>
        <w:kinsoku w:val="0"/>
        <w:overflowPunct w:val="0"/>
        <w:ind w:right="540" w:firstLine="360"/>
        <w:jc w:val="both"/>
      </w:pPr>
      <w:r w:rsidRPr="00C8023E">
        <w:rPr>
          <w:b/>
        </w:rPr>
        <w:t xml:space="preserve">   </w:t>
      </w:r>
      <w:r>
        <w:rPr>
          <w:b/>
        </w:rPr>
        <w:tab/>
      </w:r>
      <w:r w:rsidRPr="00C8023E">
        <w:rPr>
          <w:b/>
        </w:rPr>
        <w:t>3.  Fair treatment.</w:t>
      </w:r>
      <w:r>
        <w:t xml:space="preserve">  This note takes a closer look at the “fair treatment” pillar of </w:t>
      </w:r>
      <w:r w:rsidR="00515224">
        <w:t xml:space="preserve">the common </w:t>
      </w:r>
      <w:r>
        <w:t xml:space="preserve">definition of environmental justice.  The definition of “fair treatment” appearing in the text box on page </w:t>
      </w:r>
      <w:r w:rsidR="00B70DAF">
        <w:t>25</w:t>
      </w:r>
      <w:r>
        <w:t xml:space="preserve"> c</w:t>
      </w:r>
      <w:r w:rsidR="00B70DAF">
        <w:t>ame</w:t>
      </w:r>
      <w:r>
        <w:t xml:space="preserve"> from the popularly cited website of EPA’s Office of Environmental Justice</w:t>
      </w:r>
      <w:r w:rsidR="00B70DAF">
        <w:t xml:space="preserve"> (now deleted)</w:t>
      </w:r>
      <w:r>
        <w:t xml:space="preserve">.  Notice that this definition only discusses the sharing of “negative environmental consequences” (often simplified as environmental “burdens”) but says nothing about sharing in environmental benefits, such as clean air and city parks.  </w:t>
      </w:r>
      <w:r w:rsidR="00764EB1">
        <w:t>As</w:t>
      </w:r>
      <w:r w:rsidR="00D3524B">
        <w:t>k</w:t>
      </w:r>
      <w:r w:rsidR="00764EB1">
        <w:t xml:space="preserve"> students</w:t>
      </w:r>
      <w:r w:rsidR="00D3524B">
        <w:t xml:space="preserve"> to compare this definition </w:t>
      </w:r>
      <w:r w:rsidR="00685B58">
        <w:t>to the updated Biden definition on page 24</w:t>
      </w:r>
      <w:r w:rsidR="00764EB1">
        <w:t xml:space="preserve"> (esp</w:t>
      </w:r>
      <w:r w:rsidR="00D3524B">
        <w:t>ecially noting the aspiratio</w:t>
      </w:r>
      <w:r w:rsidR="00F8258E">
        <w:t>nal</w:t>
      </w:r>
      <w:r w:rsidR="00D3524B">
        <w:t xml:space="preserve"> language in the second bullet).  </w:t>
      </w:r>
    </w:p>
    <w:p w14:paraId="1A9E809B" w14:textId="77777777" w:rsidR="0070589C" w:rsidRDefault="0070589C" w:rsidP="0070589C">
      <w:pPr>
        <w:pStyle w:val="BodyText"/>
        <w:kinsoku w:val="0"/>
        <w:overflowPunct w:val="0"/>
        <w:ind w:right="897" w:firstLine="360"/>
        <w:jc w:val="both"/>
      </w:pPr>
    </w:p>
    <w:p w14:paraId="4DB868B0" w14:textId="77777777" w:rsidR="0070589C" w:rsidRDefault="0070589C" w:rsidP="0070589C">
      <w:pPr>
        <w:pStyle w:val="BodyText"/>
        <w:kinsoku w:val="0"/>
        <w:overflowPunct w:val="0"/>
        <w:ind w:right="540" w:firstLine="720"/>
        <w:jc w:val="both"/>
      </w:pPr>
      <w:r>
        <w:t xml:space="preserve">As a matter of substance, what constitutes “fair treatment” may depend highly on context. To facilitate some discussion in context, five hypotheticals are presented in this note, each based loosely on real cases in the United States.  Instructors may wish to divide the </w:t>
      </w:r>
      <w:r>
        <w:lastRenderedPageBreak/>
        <w:t xml:space="preserve">class up into small groups to focus on one hypothetical per group, with the small groups reporting back to the full class on what they see as “fair treatment” in each case.   </w:t>
      </w:r>
    </w:p>
    <w:p w14:paraId="3695127D" w14:textId="77777777" w:rsidR="0070589C" w:rsidRDefault="0070589C" w:rsidP="0070589C">
      <w:pPr>
        <w:pStyle w:val="BodyText"/>
        <w:kinsoku w:val="0"/>
        <w:overflowPunct w:val="0"/>
        <w:ind w:right="897" w:firstLine="360"/>
        <w:jc w:val="both"/>
      </w:pPr>
    </w:p>
    <w:p w14:paraId="0FF30421" w14:textId="32EA93EC" w:rsidR="0070589C" w:rsidRDefault="0070589C" w:rsidP="0070589C">
      <w:pPr>
        <w:pStyle w:val="BodyText"/>
        <w:kinsoku w:val="0"/>
        <w:overflowPunct w:val="0"/>
        <w:ind w:right="540" w:firstLine="720"/>
        <w:jc w:val="both"/>
      </w:pPr>
      <w:r>
        <w:t xml:space="preserve">The note continues with a brief discussion of LULUs – locally undesirable land uses, such as landfills and waste incinerators – and an influential article on fairness in LULU siting by Professor Vicki Been.  The question about fairness in LULU siting once occupied a central place in discussions of environmental justice.  In modern practice, not many landfills and waste incinerators are being sited these days, although siting challenges are still raised by construction of new facilities (e.g., </w:t>
      </w:r>
      <w:r w:rsidR="008C65A2">
        <w:t>Amazon distribution center</w:t>
      </w:r>
      <w:r w:rsidR="003C2387">
        <w:t>s</w:t>
      </w:r>
      <w:r w:rsidR="008C65A2">
        <w:t xml:space="preserve"> and AI </w:t>
      </w:r>
      <w:r w:rsidR="007643E6">
        <w:t>data centers</w:t>
      </w:r>
      <w:r>
        <w:t xml:space="preserve">) and petroleum pipelines such as the Dakota Access Pipeline and the Atlantic Coast Pipeline discussed in later chapters. </w:t>
      </w:r>
    </w:p>
    <w:p w14:paraId="78F21ABC" w14:textId="77777777" w:rsidR="0070589C" w:rsidRDefault="0070589C" w:rsidP="0070589C">
      <w:pPr>
        <w:pStyle w:val="BodyText"/>
        <w:kinsoku w:val="0"/>
        <w:overflowPunct w:val="0"/>
        <w:ind w:right="897" w:firstLine="360"/>
        <w:jc w:val="both"/>
      </w:pPr>
    </w:p>
    <w:p w14:paraId="7AF899B3" w14:textId="77777777" w:rsidR="0070589C" w:rsidRDefault="0070589C" w:rsidP="0070589C">
      <w:pPr>
        <w:pStyle w:val="BodyText"/>
        <w:kinsoku w:val="0"/>
        <w:overflowPunct w:val="0"/>
        <w:ind w:right="540" w:firstLine="720"/>
        <w:jc w:val="both"/>
      </w:pPr>
      <w:r>
        <w:t>Another reason LULUs may have fallen out of popular discussion may be uncertainty of what constitutes a LULU.  To test this uncertainty, instructors may ask their students which of the following would constitute a LULU in their neighborhood:</w:t>
      </w:r>
    </w:p>
    <w:p w14:paraId="2E2D6E86" w14:textId="77777777" w:rsidR="0070589C" w:rsidRDefault="0070589C" w:rsidP="0070589C">
      <w:pPr>
        <w:pStyle w:val="BodyText"/>
        <w:kinsoku w:val="0"/>
        <w:overflowPunct w:val="0"/>
        <w:ind w:left="720" w:right="897"/>
        <w:jc w:val="both"/>
      </w:pPr>
    </w:p>
    <w:p w14:paraId="1FF5E652" w14:textId="77777777" w:rsidR="0070589C" w:rsidRDefault="0070589C" w:rsidP="0070589C">
      <w:pPr>
        <w:pStyle w:val="BodyText"/>
        <w:numPr>
          <w:ilvl w:val="0"/>
          <w:numId w:val="5"/>
        </w:numPr>
        <w:kinsoku w:val="0"/>
        <w:overflowPunct w:val="0"/>
        <w:ind w:right="540"/>
        <w:jc w:val="both"/>
      </w:pPr>
      <w:r>
        <w:t>a retrievable nuclear storage facility that would be constructed by the federal government with $5 billion in local labor</w:t>
      </w:r>
    </w:p>
    <w:p w14:paraId="379190E3" w14:textId="77777777" w:rsidR="0070589C" w:rsidRDefault="0070589C" w:rsidP="0070589C">
      <w:pPr>
        <w:pStyle w:val="BodyText"/>
        <w:numPr>
          <w:ilvl w:val="0"/>
          <w:numId w:val="5"/>
        </w:numPr>
        <w:kinsoku w:val="0"/>
        <w:overflowPunct w:val="0"/>
        <w:ind w:right="897"/>
        <w:jc w:val="both"/>
      </w:pPr>
      <w:r>
        <w:t>a Walmart Supercenter that employs 450 people at least half-time</w:t>
      </w:r>
    </w:p>
    <w:p w14:paraId="667017AC" w14:textId="77777777" w:rsidR="0070589C" w:rsidRDefault="0070589C" w:rsidP="0070589C">
      <w:pPr>
        <w:pStyle w:val="BodyText"/>
        <w:numPr>
          <w:ilvl w:val="0"/>
          <w:numId w:val="5"/>
        </w:numPr>
        <w:kinsoku w:val="0"/>
        <w:overflowPunct w:val="0"/>
        <w:ind w:right="897"/>
        <w:jc w:val="both"/>
      </w:pPr>
      <w:r>
        <w:t>a homeless shelter that could house 60 adults at one time</w:t>
      </w:r>
    </w:p>
    <w:p w14:paraId="75491F10" w14:textId="77777777" w:rsidR="0070589C" w:rsidRDefault="0070589C" w:rsidP="0070589C">
      <w:pPr>
        <w:pStyle w:val="BodyText"/>
        <w:numPr>
          <w:ilvl w:val="0"/>
          <w:numId w:val="5"/>
        </w:numPr>
        <w:kinsoku w:val="0"/>
        <w:overflowPunct w:val="0"/>
        <w:ind w:right="897"/>
        <w:jc w:val="both"/>
      </w:pPr>
      <w:r>
        <w:t xml:space="preserve">a 12-acre commercial organic composting facility </w:t>
      </w:r>
    </w:p>
    <w:p w14:paraId="11399324" w14:textId="77777777" w:rsidR="0070589C" w:rsidRDefault="0070589C" w:rsidP="0070589C">
      <w:pPr>
        <w:pStyle w:val="BodyText"/>
        <w:numPr>
          <w:ilvl w:val="0"/>
          <w:numId w:val="5"/>
        </w:numPr>
        <w:kinsoku w:val="0"/>
        <w:overflowPunct w:val="0"/>
        <w:ind w:right="897"/>
        <w:jc w:val="both"/>
      </w:pPr>
      <w:r>
        <w:t>a 10,000 square-foot skateboard park, with a capacity for 75 skaters at one time.</w:t>
      </w:r>
    </w:p>
    <w:p w14:paraId="68CE75F6" w14:textId="77777777" w:rsidR="0070589C" w:rsidRDefault="0070589C" w:rsidP="0070589C">
      <w:pPr>
        <w:pStyle w:val="BodyText"/>
        <w:kinsoku w:val="0"/>
        <w:overflowPunct w:val="0"/>
        <w:ind w:left="720" w:right="897"/>
        <w:jc w:val="both"/>
      </w:pPr>
    </w:p>
    <w:p w14:paraId="53904CD0" w14:textId="3EE9D740" w:rsidR="0070589C" w:rsidRDefault="0070589C" w:rsidP="0070589C">
      <w:pPr>
        <w:pStyle w:val="BodyText"/>
        <w:kinsoku w:val="0"/>
        <w:overflowPunct w:val="0"/>
        <w:ind w:right="540" w:firstLine="720"/>
        <w:jc w:val="both"/>
      </w:pPr>
      <w:r w:rsidRPr="000B4FB3">
        <w:rPr>
          <w:b/>
        </w:rPr>
        <w:t>4.  Meaningful involvement.</w:t>
      </w:r>
      <w:r>
        <w:t xml:space="preserve">  This note focuses on the second pillar of environmental justice under </w:t>
      </w:r>
      <w:r w:rsidR="003C2387">
        <w:t>the common</w:t>
      </w:r>
      <w:r>
        <w:t xml:space="preserve"> definition.  The EPA’s definition of “meaningful involvement” is set off in the text box on page 2</w:t>
      </w:r>
      <w:r w:rsidR="004332B4">
        <w:t>7</w:t>
      </w:r>
      <w:r>
        <w:t>.  Note that “meaningful involvement” evolved from earlier notions of “public relations” or “public involvement.”  Although these older terms still appear in agency rules and guidance documents, agencies should now be striving to do more than the very minimum if they are genuinely committed to environmental justice.</w:t>
      </w:r>
    </w:p>
    <w:p w14:paraId="61DF975C" w14:textId="77777777" w:rsidR="0070589C" w:rsidRDefault="0070589C" w:rsidP="0070589C">
      <w:pPr>
        <w:pStyle w:val="BodyText"/>
        <w:kinsoku w:val="0"/>
        <w:overflowPunct w:val="0"/>
        <w:ind w:right="897" w:firstLine="360"/>
        <w:jc w:val="both"/>
      </w:pPr>
    </w:p>
    <w:p w14:paraId="59BE8F6B" w14:textId="6198D379" w:rsidR="0070589C" w:rsidRDefault="0070589C" w:rsidP="0070589C">
      <w:pPr>
        <w:pStyle w:val="BodyText"/>
        <w:kinsoku w:val="0"/>
        <w:overflowPunct w:val="0"/>
        <w:ind w:right="540" w:firstLine="720"/>
        <w:jc w:val="both"/>
      </w:pPr>
      <w:r>
        <w:t>Like “fair treatment,” what constitutes “meaningful involvement” may depend on context.  Students may first consider the appropriate languages needed to communicate with these communities.  They may also consider the appropriate forms of communication.  Will older citizens or poor families have Internet access?  Could there be literacy issues</w:t>
      </w:r>
      <w:r w:rsidR="009765F7">
        <w:t xml:space="preserve"> addressed </w:t>
      </w:r>
      <w:r w:rsidR="00560244">
        <w:t>through other forms of communication such as theater or comic books</w:t>
      </w:r>
      <w:r>
        <w:t xml:space="preserve">?  Are there radio stations, grocery stores, or churches that may help distribute information?  For a public meeting, would the young families require childcare?  Do older citizens require public transportation?  </w:t>
      </w:r>
      <w:r w:rsidR="0034013D">
        <w:t xml:space="preserve">For community members required to travel to a meeting, may compensation be provided?  (Short answers:  yes.)  </w:t>
      </w:r>
      <w:r w:rsidR="00BA6274">
        <w:t xml:space="preserve">Federal authority for providing compensation is </w:t>
      </w:r>
      <w:r w:rsidR="004E0587">
        <w:t>articulated in a 2024 EPA guidance, Meaningful Engagement Policy</w:t>
      </w:r>
      <w:r w:rsidR="007B2259">
        <w:t>, available on the website for this book (</w:t>
      </w:r>
      <w:hyperlink r:id="rId9" w:history="1">
        <w:r w:rsidR="007B2259" w:rsidRPr="00960827">
          <w:rPr>
            <w:rStyle w:val="Hyperlink"/>
          </w:rPr>
          <w:t>www.environmentaljusticebook.org</w:t>
        </w:r>
      </w:hyperlink>
      <w:r w:rsidR="007B2259">
        <w:t>) under “Chapter Materials.”</w:t>
      </w:r>
      <w:r>
        <w:t xml:space="preserve"> </w:t>
      </w:r>
    </w:p>
    <w:p w14:paraId="7E90E464" w14:textId="77777777" w:rsidR="0070589C" w:rsidRDefault="0070589C" w:rsidP="0070589C">
      <w:pPr>
        <w:pStyle w:val="BodyText"/>
        <w:kinsoku w:val="0"/>
        <w:overflowPunct w:val="0"/>
        <w:ind w:right="897" w:firstLine="360"/>
        <w:jc w:val="both"/>
      </w:pPr>
    </w:p>
    <w:p w14:paraId="1796DF72" w14:textId="77777777" w:rsidR="0070589C" w:rsidRPr="00831D45" w:rsidRDefault="0070589C" w:rsidP="0070589C">
      <w:pPr>
        <w:pStyle w:val="BodyText"/>
        <w:kinsoku w:val="0"/>
        <w:overflowPunct w:val="0"/>
        <w:ind w:right="540" w:firstLine="720"/>
        <w:jc w:val="both"/>
      </w:pPr>
      <w:r>
        <w:t xml:space="preserve">Meaningful involvement in government enforcement action is … tricky.  Many (probably most) government enforcement actions never provide for any public involvement </w:t>
      </w:r>
      <w:r>
        <w:lastRenderedPageBreak/>
        <w:t>(much less “meaningful” public involvement).  In these cases, the public may first learn of a violation when an agency announces a settlement.  In other cases, some public involvement may be allowed or even required, as further explored in Chapter 7 (Public Enforcement).</w:t>
      </w:r>
    </w:p>
    <w:p w14:paraId="1206C97F" w14:textId="77777777" w:rsidR="0070589C" w:rsidRDefault="0070589C" w:rsidP="0070589C">
      <w:pPr>
        <w:pStyle w:val="BodyText"/>
        <w:kinsoku w:val="0"/>
        <w:overflowPunct w:val="0"/>
        <w:ind w:right="897" w:firstLine="360"/>
        <w:jc w:val="both"/>
      </w:pPr>
    </w:p>
    <w:p w14:paraId="296CBFA4" w14:textId="42664B39" w:rsidR="0070589C" w:rsidRDefault="0070589C" w:rsidP="0070589C">
      <w:pPr>
        <w:pStyle w:val="BodyText"/>
        <w:kinsoku w:val="0"/>
        <w:overflowPunct w:val="0"/>
        <w:ind w:right="540" w:firstLine="720"/>
        <w:jc w:val="both"/>
      </w:pPr>
      <w:r w:rsidRPr="000D4331">
        <w:rPr>
          <w:b/>
        </w:rPr>
        <w:t>5.  Corrective justice</w:t>
      </w:r>
      <w:r>
        <w:t>.  Returning to Kuehn’s four dimensions of environmental justice, Kuehn defines corrective justice broadly, to include notions of punishment, compensatory justice, and restorative justice.  These notions are not explicitly addressed in the EPA’s definition, although they could be pursued through EPA’s reference to “enforcement” of the law.  For example, punishment (or “retributive justice”) may be pursued through criminal enforcement of federal environmental statutes and compensatory justice may be pursued through cost recovery actions under the Comprehensive Environmental Response, Compensation, and Liability Act (CERCLA).  For further examination of corrective justice through enforcement of environmental law, see Chapter 7 (</w:t>
      </w:r>
      <w:r w:rsidR="0015473F">
        <w:t xml:space="preserve">Government </w:t>
      </w:r>
      <w:r>
        <w:t xml:space="preserve">Enforcement).  </w:t>
      </w:r>
    </w:p>
    <w:p w14:paraId="4C00BA63" w14:textId="77777777" w:rsidR="0070589C" w:rsidRDefault="0070589C" w:rsidP="0070589C">
      <w:pPr>
        <w:pStyle w:val="BodyText"/>
        <w:kinsoku w:val="0"/>
        <w:overflowPunct w:val="0"/>
        <w:ind w:right="897" w:firstLine="360"/>
        <w:jc w:val="both"/>
      </w:pPr>
    </w:p>
    <w:p w14:paraId="52FB5090" w14:textId="77777777" w:rsidR="0070589C" w:rsidRDefault="0070589C" w:rsidP="0070589C">
      <w:pPr>
        <w:pStyle w:val="BodyText"/>
        <w:kinsoku w:val="0"/>
        <w:overflowPunct w:val="0"/>
        <w:ind w:right="540" w:firstLine="720"/>
        <w:jc w:val="both"/>
      </w:pPr>
      <w:r>
        <w:t xml:space="preserve">To answer the question posed at the end of this note, CERCLA does not provide private rights to compensation for losses experienced by the general public, such as fish that cannot be eaten due to contamination.  CERCLA does, however, authorize designated “natural resource trustees” (such as state or tribal governments) to seek damages for such losses under their jurisdiction. </w:t>
      </w:r>
    </w:p>
    <w:p w14:paraId="0E4E9409" w14:textId="77777777" w:rsidR="0070589C" w:rsidRDefault="0070589C" w:rsidP="0070589C">
      <w:pPr>
        <w:pStyle w:val="BodyText"/>
        <w:kinsoku w:val="0"/>
        <w:overflowPunct w:val="0"/>
        <w:ind w:right="897" w:firstLine="360"/>
        <w:jc w:val="both"/>
      </w:pPr>
    </w:p>
    <w:p w14:paraId="0174A5A6" w14:textId="1DC9318D" w:rsidR="0070589C" w:rsidRDefault="0070589C" w:rsidP="0070589C">
      <w:pPr>
        <w:pStyle w:val="BodyText"/>
        <w:kinsoku w:val="0"/>
        <w:overflowPunct w:val="0"/>
        <w:ind w:right="540" w:firstLine="720"/>
        <w:jc w:val="both"/>
      </w:pPr>
      <w:r w:rsidRPr="00043B64">
        <w:rPr>
          <w:b/>
        </w:rPr>
        <w:t>6.  Social justice</w:t>
      </w:r>
      <w:r>
        <w:t xml:space="preserve">.  Social justice represents the fourth dimension of Kuehn’s conception of environmental justice.  A Venn diagram might depict environmental justice as a circle within a much broader circumference of social justice, which might also include racial justice, educational justice, and housing justice, for starters.  The circles may also overlap.  For example, the case study of </w:t>
      </w:r>
      <w:r w:rsidR="002604F6">
        <w:t xml:space="preserve">Jackson, Mississippi </w:t>
      </w:r>
      <w:r>
        <w:t xml:space="preserve">that opens Chapter </w:t>
      </w:r>
      <w:r w:rsidR="000A19C9">
        <w:t>3</w:t>
      </w:r>
      <w:r>
        <w:t xml:space="preserve"> </w:t>
      </w:r>
      <w:r w:rsidR="002604F6">
        <w:t>(</w:t>
      </w:r>
      <w:r w:rsidR="002B3C05">
        <w:t>Risk and Health</w:t>
      </w:r>
      <w:r>
        <w:t xml:space="preserve">) illustrates concerns for environmental justice, but may also reflect concerns for </w:t>
      </w:r>
      <w:r w:rsidR="002B3C05">
        <w:t xml:space="preserve">racial </w:t>
      </w:r>
      <w:r>
        <w:t xml:space="preserve">justice, to the extent that </w:t>
      </w:r>
      <w:r w:rsidR="007644A3">
        <w:t>infrastructure</w:t>
      </w:r>
      <w:r w:rsidR="000B1C12">
        <w:t xml:space="preserve"> upgrades</w:t>
      </w:r>
      <w:r w:rsidR="007644A3">
        <w:t xml:space="preserve"> needed by the </w:t>
      </w:r>
      <w:r>
        <w:t>poor</w:t>
      </w:r>
      <w:r w:rsidR="002B3C05">
        <w:t xml:space="preserve">, Black </w:t>
      </w:r>
      <w:r>
        <w:t xml:space="preserve">residents </w:t>
      </w:r>
      <w:r w:rsidR="002B3C05">
        <w:t xml:space="preserve">of Jackson </w:t>
      </w:r>
      <w:r w:rsidR="00A37B50">
        <w:t>are</w:t>
      </w:r>
      <w:r w:rsidR="002B3C05">
        <w:t xml:space="preserve"> consistently </w:t>
      </w:r>
      <w:r w:rsidR="00AD0BD6">
        <w:t xml:space="preserve">underfunded </w:t>
      </w:r>
      <w:r w:rsidR="00091684">
        <w:t>by their own state legislature</w:t>
      </w:r>
      <w:r>
        <w:t>.</w:t>
      </w:r>
      <w:r w:rsidR="00E00EEC">
        <w:t xml:space="preserve"> </w:t>
      </w:r>
      <w:r>
        <w:t xml:space="preserve">Note also that addressing concerns for environmental justice may require consideration of broader concerns for social justice.  For example, if environmental justice requires relocating a community away from a contaminated site, the community residents should be assured of decent housing, safe schools, and public transportation wherever they may be relocated.  </w:t>
      </w:r>
    </w:p>
    <w:p w14:paraId="73038527" w14:textId="77777777" w:rsidR="0070589C" w:rsidRDefault="0070589C" w:rsidP="0070589C">
      <w:pPr>
        <w:pStyle w:val="BodyText"/>
        <w:kinsoku w:val="0"/>
        <w:overflowPunct w:val="0"/>
        <w:ind w:right="897" w:firstLine="360"/>
        <w:jc w:val="both"/>
      </w:pPr>
    </w:p>
    <w:p w14:paraId="69181DAE" w14:textId="0AD31062" w:rsidR="0070589C" w:rsidRDefault="0070589C" w:rsidP="0070589C">
      <w:pPr>
        <w:pStyle w:val="BodyText"/>
        <w:kinsoku w:val="0"/>
        <w:overflowPunct w:val="0"/>
        <w:ind w:right="897"/>
        <w:jc w:val="center"/>
      </w:pPr>
      <w:r>
        <w:t xml:space="preserve">Richard J. Lazarus, </w:t>
      </w:r>
      <w:r w:rsidRPr="00D243DB">
        <w:rPr>
          <w:i/>
        </w:rPr>
        <w:t>Pursuing “Environmental Justice”:  The Distributional Effects of Environmental Protection</w:t>
      </w:r>
      <w:r>
        <w:rPr>
          <w:i/>
        </w:rPr>
        <w:t xml:space="preserve">, </w:t>
      </w:r>
      <w:r w:rsidRPr="009C7D55">
        <w:rPr>
          <w:smallCaps/>
        </w:rPr>
        <w:t>87 Northwestern U</w:t>
      </w:r>
      <w:r w:rsidR="00F7048C">
        <w:rPr>
          <w:smallCaps/>
        </w:rPr>
        <w:t>.</w:t>
      </w:r>
      <w:r w:rsidRPr="009C7D55">
        <w:rPr>
          <w:smallCaps/>
        </w:rPr>
        <w:t xml:space="preserve"> L. Rev.</w:t>
      </w:r>
      <w:r>
        <w:t xml:space="preserve"> (1993)</w:t>
      </w:r>
    </w:p>
    <w:p w14:paraId="5D3792F9" w14:textId="77777777" w:rsidR="0070589C" w:rsidRDefault="0070589C" w:rsidP="0070589C">
      <w:pPr>
        <w:pStyle w:val="BodyText"/>
        <w:kinsoku w:val="0"/>
        <w:overflowPunct w:val="0"/>
        <w:ind w:right="897" w:firstLine="360"/>
        <w:jc w:val="both"/>
      </w:pPr>
    </w:p>
    <w:p w14:paraId="380E307A" w14:textId="08E5FE7C" w:rsidR="0070589C" w:rsidRDefault="0070589C" w:rsidP="0070589C">
      <w:pPr>
        <w:pStyle w:val="BodyText"/>
        <w:kinsoku w:val="0"/>
        <w:overflowPunct w:val="0"/>
        <w:ind w:right="540" w:firstLine="720"/>
        <w:jc w:val="both"/>
      </w:pPr>
      <w:r>
        <w:t xml:space="preserve">This </w:t>
      </w:r>
      <w:r w:rsidR="00F7048C">
        <w:t xml:space="preserve">1993 </w:t>
      </w:r>
      <w:r>
        <w:t xml:space="preserve">article by Professor Richard Lazarus, now at Harvard Law School, is one of the foundational articles on environmental justice, written at a time when “environmental equity” may have been more commonly used.  In this article, which helped to popularize the term “environmental justice,” Prof. Lazarus described some of the distributional effects of environmental pollution, but also identified some of the structural causes for this imbalance, as discussed in the excerpt provided in the book.  </w:t>
      </w:r>
    </w:p>
    <w:p w14:paraId="13667FE1" w14:textId="77777777" w:rsidR="0070589C" w:rsidRDefault="0070589C" w:rsidP="0070589C">
      <w:pPr>
        <w:pStyle w:val="BodyText"/>
        <w:kinsoku w:val="0"/>
        <w:overflowPunct w:val="0"/>
        <w:ind w:right="897" w:firstLine="360"/>
        <w:jc w:val="both"/>
      </w:pPr>
    </w:p>
    <w:p w14:paraId="5E44A01F" w14:textId="77777777" w:rsidR="0070589C" w:rsidRPr="009C7D55" w:rsidRDefault="0070589C" w:rsidP="0070589C">
      <w:pPr>
        <w:pStyle w:val="BodyText"/>
        <w:kinsoku w:val="0"/>
        <w:overflowPunct w:val="0"/>
        <w:ind w:right="897"/>
        <w:jc w:val="center"/>
        <w:rPr>
          <w:b/>
          <w:i/>
          <w:sz w:val="28"/>
          <w:szCs w:val="28"/>
        </w:rPr>
      </w:pPr>
      <w:r w:rsidRPr="009C7D55">
        <w:rPr>
          <w:b/>
          <w:i/>
          <w:sz w:val="28"/>
          <w:szCs w:val="28"/>
        </w:rPr>
        <w:t>Notes and Questions</w:t>
      </w:r>
    </w:p>
    <w:p w14:paraId="09BFA6BF" w14:textId="77777777" w:rsidR="0070589C" w:rsidRDefault="0070589C" w:rsidP="0070589C">
      <w:pPr>
        <w:pStyle w:val="BodyText"/>
        <w:kinsoku w:val="0"/>
        <w:overflowPunct w:val="0"/>
        <w:ind w:right="897" w:firstLine="360"/>
        <w:jc w:val="both"/>
      </w:pPr>
    </w:p>
    <w:p w14:paraId="186CACEE" w14:textId="2CA59349" w:rsidR="0070589C" w:rsidRDefault="0070589C" w:rsidP="0070589C">
      <w:pPr>
        <w:pStyle w:val="BodyText"/>
        <w:kinsoku w:val="0"/>
        <w:overflowPunct w:val="0"/>
        <w:ind w:right="540"/>
        <w:jc w:val="both"/>
      </w:pPr>
      <w:r>
        <w:tab/>
      </w:r>
      <w:r w:rsidRPr="0053765B">
        <w:rPr>
          <w:b/>
        </w:rPr>
        <w:t>1.  Progress?</w:t>
      </w:r>
      <w:r>
        <w:t xml:space="preserve">  This note reflects a rather bleak assessment of federal environmental law in the time following the article by Prof. Lazarus.  Since the Clean Air Act Amendments of 1990, there has been no major federal environmental legislation.  Among other things, this means there is no still no federal law directly addressing environmental justice, although many proposals have been suggested. Perhaps even more troubling, there has been little or no forward progress on federal rulemaking to address environmental justice, with every significant proposed rule seemingly tied up for years in litigation.  Part of the answer to this may be environmental legislation and rulemaking by state, tribal, or local governments.  In 20</w:t>
      </w:r>
      <w:r w:rsidR="00467C49">
        <w:t>20</w:t>
      </w:r>
      <w:r>
        <w:t xml:space="preserve">, for example, the State of New </w:t>
      </w:r>
      <w:r w:rsidR="00E06673">
        <w:t xml:space="preserve">Jersey </w:t>
      </w:r>
      <w:r>
        <w:t>passed major legislation specifically directed toward concerns for environmental justice, as explored further in Chapter 10.</w:t>
      </w:r>
    </w:p>
    <w:p w14:paraId="1C32DB23" w14:textId="77777777" w:rsidR="0070589C" w:rsidRDefault="0070589C" w:rsidP="0070589C">
      <w:pPr>
        <w:pStyle w:val="BodyText"/>
        <w:kinsoku w:val="0"/>
        <w:overflowPunct w:val="0"/>
        <w:ind w:right="897" w:firstLine="360"/>
        <w:jc w:val="both"/>
      </w:pPr>
    </w:p>
    <w:p w14:paraId="660D9BCA" w14:textId="50E06593" w:rsidR="0070589C" w:rsidRDefault="0070589C" w:rsidP="0070589C">
      <w:pPr>
        <w:pStyle w:val="BodyText"/>
        <w:kinsoku w:val="0"/>
        <w:overflowPunct w:val="0"/>
        <w:ind w:right="540" w:firstLine="720"/>
        <w:jc w:val="both"/>
      </w:pPr>
      <w:r w:rsidRPr="00DC64AE">
        <w:rPr>
          <w:b/>
        </w:rPr>
        <w:t>2.  Hope?</w:t>
      </w:r>
      <w:r>
        <w:t xml:space="preserve">  This note is self-explanatory and a bit of relief from the bleak assessment of the previous note.  While the environmental movement of the 1970s and ‘80s stalled in the 1990s, the </w:t>
      </w:r>
      <w:r w:rsidR="00F646D5">
        <w:t xml:space="preserve">EJ </w:t>
      </w:r>
      <w:r>
        <w:t xml:space="preserve">movement, taking shape in the early ‘90s, has only grown and strengthened in political force.  Today, for example, grassroots activists for environmental justice may </w:t>
      </w:r>
      <w:r w:rsidR="005B2D4C">
        <w:t xml:space="preserve">find powerful allies </w:t>
      </w:r>
      <w:r w:rsidR="007B7A3E">
        <w:t>in national organizations including the ACLU and NAACP</w:t>
      </w:r>
      <w:r>
        <w:t xml:space="preserve">.  </w:t>
      </w:r>
    </w:p>
    <w:p w14:paraId="331E7890" w14:textId="77777777" w:rsidR="0070589C" w:rsidRDefault="0070589C" w:rsidP="0070589C">
      <w:pPr>
        <w:pStyle w:val="BodyText"/>
        <w:kinsoku w:val="0"/>
        <w:overflowPunct w:val="0"/>
        <w:ind w:right="897" w:firstLine="360"/>
        <w:jc w:val="both"/>
      </w:pPr>
    </w:p>
    <w:p w14:paraId="33040088" w14:textId="77777777" w:rsidR="0070589C" w:rsidRPr="00247DBD" w:rsidRDefault="0070589C" w:rsidP="0070589C">
      <w:pPr>
        <w:pStyle w:val="BodyText"/>
        <w:numPr>
          <w:ilvl w:val="0"/>
          <w:numId w:val="4"/>
        </w:numPr>
        <w:kinsoku w:val="0"/>
        <w:overflowPunct w:val="0"/>
        <w:ind w:right="897"/>
        <w:jc w:val="both"/>
        <w:rPr>
          <w:b/>
        </w:rPr>
      </w:pPr>
      <w:r w:rsidRPr="00247DBD">
        <w:rPr>
          <w:b/>
        </w:rPr>
        <w:t>“We Speak for Ourselves”</w:t>
      </w:r>
    </w:p>
    <w:p w14:paraId="3B95418A" w14:textId="77777777" w:rsidR="0070589C" w:rsidRDefault="0070589C" w:rsidP="0070589C">
      <w:pPr>
        <w:pStyle w:val="BodyText"/>
        <w:kinsoku w:val="0"/>
        <w:overflowPunct w:val="0"/>
        <w:ind w:left="720" w:right="897"/>
        <w:jc w:val="both"/>
      </w:pPr>
    </w:p>
    <w:p w14:paraId="680026B1" w14:textId="0365AB1D" w:rsidR="0070589C" w:rsidRDefault="0070589C" w:rsidP="0070589C">
      <w:pPr>
        <w:pStyle w:val="BodyText"/>
        <w:kinsoku w:val="0"/>
        <w:overflowPunct w:val="0"/>
        <w:ind w:right="540" w:firstLine="720"/>
        <w:jc w:val="both"/>
      </w:pPr>
      <w:r>
        <w:t xml:space="preserve">This section introduces what comes to serve as an enduring mantra for the environmental justice movement:  “We Speak for Ourselves.”  Instructors might ask their students why EJ advocates would consider this declaration so important.  Is it a human need to be heard?  Is it an essential element of procedural justice?  As indicated in the famous (or infamous) “Group of Ten” letter reprinted on pages </w:t>
      </w:r>
      <w:r w:rsidR="00735E54">
        <w:t>33-</w:t>
      </w:r>
      <w:r w:rsidR="007B25AA">
        <w:t>35</w:t>
      </w:r>
      <w:r>
        <w:t xml:space="preserve">, it is at least in part a reaction to the structural concerns identified by Prof. Lazarus, where environmental legislation and policy development appeared the exclusive domain of national environmental organizations with offices in Washington, D.C.  </w:t>
      </w:r>
    </w:p>
    <w:p w14:paraId="68D95327" w14:textId="77777777" w:rsidR="0070589C" w:rsidRDefault="0070589C" w:rsidP="0070589C">
      <w:pPr>
        <w:widowControl/>
        <w:autoSpaceDE/>
        <w:autoSpaceDN/>
        <w:adjustRightInd/>
        <w:ind w:right="828"/>
        <w:rPr>
          <w:sz w:val="24"/>
          <w:szCs w:val="24"/>
        </w:rPr>
      </w:pPr>
    </w:p>
    <w:p w14:paraId="7457ECDC" w14:textId="05E491CF" w:rsidR="0070589C" w:rsidRPr="00515B29" w:rsidRDefault="0070589C" w:rsidP="0070589C">
      <w:pPr>
        <w:pStyle w:val="BodyText"/>
        <w:ind w:right="540" w:firstLine="720"/>
        <w:jc w:val="both"/>
        <w:rPr>
          <w:rFonts w:eastAsia="Times New Roman"/>
        </w:rPr>
      </w:pPr>
      <w:r w:rsidRPr="00515B29">
        <w:t>Consistent with the spirit of “We Speak for Ourselves,” instructors in a</w:t>
      </w:r>
      <w:r>
        <w:t>n initial</w:t>
      </w:r>
      <w:r w:rsidRPr="00515B29">
        <w:t xml:space="preserve"> class session of the term may want to emphasize the need for EJ advocates to develop solid skills in listening.  Listening may not come easily or naturally for some people (perhaps including many people drawn to the study and practice of law), but simple classroom exercises in </w:t>
      </w:r>
      <w:r w:rsidRPr="00515B29">
        <w:rPr>
          <w:b/>
        </w:rPr>
        <w:t>active listening</w:t>
      </w:r>
      <w:r w:rsidRPr="00515B29">
        <w:t xml:space="preserve"> may help improve the skills that advocates may need in order to listen when other people speak.  For materials and exercises on active listing, see Emily Barney, </w:t>
      </w:r>
      <w:r w:rsidRPr="00515B29">
        <w:rPr>
          <w:i/>
          <w:iCs/>
        </w:rPr>
        <w:t>Legal Skills Workshop: Effective Listening</w:t>
      </w:r>
      <w:r w:rsidRPr="00515B29">
        <w:t xml:space="preserve">, </w:t>
      </w:r>
      <w:r w:rsidRPr="00515B29">
        <w:rPr>
          <w:smallCaps/>
        </w:rPr>
        <w:t>IIT Chicago-Kent Law Library</w:t>
      </w:r>
      <w:r w:rsidRPr="00515B29">
        <w:t xml:space="preserve"> (May 15, 2020, 12:07 PM), </w:t>
      </w:r>
      <w:hyperlink r:id="rId10" w:history="1">
        <w:r w:rsidR="007B25AA" w:rsidRPr="00960827">
          <w:rPr>
            <w:rStyle w:val="Hyperlink"/>
          </w:rPr>
          <w:t>http://blogs.kentlaw.iit.edu/library/2017/11/legal-skills-workshop-effective-listening/</w:t>
        </w:r>
      </w:hyperlink>
      <w:r w:rsidR="009633DC">
        <w:t>.</w:t>
      </w:r>
      <w:r w:rsidR="007B25AA">
        <w:t xml:space="preserve"> </w:t>
      </w:r>
      <w:r w:rsidRPr="00515B29">
        <w:t xml:space="preserve"> In addition to exercises, instructors may help students develop skills in active listening by welcoming guest speakers into the classroom, by taking students to meet with community members in field experiences, and by encouraging students to conduct personal interviews in support of research papers and other curricular assignments.</w:t>
      </w:r>
    </w:p>
    <w:p w14:paraId="6C26B120" w14:textId="77777777" w:rsidR="0070589C" w:rsidRDefault="0070589C" w:rsidP="0070589C">
      <w:pPr>
        <w:pStyle w:val="BodyText"/>
        <w:kinsoku w:val="0"/>
        <w:overflowPunct w:val="0"/>
        <w:ind w:right="897" w:firstLine="360"/>
        <w:jc w:val="both"/>
      </w:pPr>
    </w:p>
    <w:p w14:paraId="2366068C" w14:textId="77777777" w:rsidR="0070589C" w:rsidRPr="003A4570" w:rsidRDefault="0070589C" w:rsidP="0070589C">
      <w:pPr>
        <w:pStyle w:val="BodyText"/>
        <w:kinsoku w:val="0"/>
        <w:overflowPunct w:val="0"/>
        <w:ind w:right="897"/>
        <w:jc w:val="center"/>
        <w:rPr>
          <w:b/>
          <w:i/>
          <w:sz w:val="28"/>
          <w:szCs w:val="28"/>
        </w:rPr>
      </w:pPr>
      <w:r w:rsidRPr="003A4570">
        <w:rPr>
          <w:b/>
          <w:i/>
          <w:sz w:val="28"/>
          <w:szCs w:val="28"/>
        </w:rPr>
        <w:t>Notes and Questions</w:t>
      </w:r>
    </w:p>
    <w:p w14:paraId="1C15EE52" w14:textId="77777777" w:rsidR="0070589C" w:rsidRDefault="0070589C" w:rsidP="0070589C">
      <w:pPr>
        <w:pStyle w:val="BodyText"/>
        <w:kinsoku w:val="0"/>
        <w:overflowPunct w:val="0"/>
        <w:ind w:right="897" w:firstLine="360"/>
        <w:jc w:val="both"/>
      </w:pPr>
    </w:p>
    <w:p w14:paraId="106481E1" w14:textId="69E96EEC" w:rsidR="0070589C" w:rsidRDefault="0070589C" w:rsidP="0070589C">
      <w:pPr>
        <w:pStyle w:val="BodyText"/>
        <w:kinsoku w:val="0"/>
        <w:overflowPunct w:val="0"/>
        <w:ind w:right="540" w:firstLine="720"/>
        <w:jc w:val="both"/>
      </w:pPr>
      <w:r w:rsidRPr="00E5325D">
        <w:rPr>
          <w:b/>
        </w:rPr>
        <w:t>1.  “Bottom-up” or “top-down”?</w:t>
      </w:r>
      <w:r>
        <w:t xml:space="preserve">  Many grassroots activists (as the name suggests) </w:t>
      </w:r>
      <w:r>
        <w:lastRenderedPageBreak/>
        <w:t>may instinctively favor a “bottom-up” approach to environmental decision-making.  There may be many good reasons for that, as suggested by the 1990 Group of Ten letter</w:t>
      </w:r>
      <w:r w:rsidR="00C206A5">
        <w:t xml:space="preserve"> and</w:t>
      </w:r>
      <w:r>
        <w:t xml:space="preserve"> the 1991 Principles of Environmental Justice.  However, students should also consider the opposing arguments in favor of “top-down” regulation.  The need for a “top-down” approach, as exemplified by EPA enforcement of the Clean Air Act, came only after a century of failures to control air pollution at a local level.  Indeed, in many local communities today, state and local elected officials continue to oppose efforts for greater environmental protection, perhaps elevating economic concerns above public health.  In many instances, greater public participation on a local level means stronger influence by business interests and industry organizations that oppose environmental protection.  In such cases, a “top-down” approach, engaging federal agencies such as the EPA or national organizations such as Earthjustice, may offer some community members the only real hope for technical and legal responses to local cases of environmental injustice.   </w:t>
      </w:r>
    </w:p>
    <w:p w14:paraId="7AD75027" w14:textId="77777777" w:rsidR="0070589C" w:rsidRDefault="0070589C" w:rsidP="0070589C">
      <w:pPr>
        <w:pStyle w:val="BodyText"/>
        <w:kinsoku w:val="0"/>
        <w:overflowPunct w:val="0"/>
        <w:ind w:right="897" w:firstLine="360"/>
        <w:jc w:val="both"/>
      </w:pPr>
    </w:p>
    <w:p w14:paraId="312AE9F2" w14:textId="77777777" w:rsidR="0070589C" w:rsidRDefault="0070589C" w:rsidP="0070589C">
      <w:pPr>
        <w:ind w:right="540"/>
        <w:jc w:val="both"/>
        <w:rPr>
          <w:sz w:val="24"/>
          <w:szCs w:val="24"/>
        </w:rPr>
      </w:pPr>
      <w:r>
        <w:rPr>
          <w:b/>
        </w:rPr>
        <w:t xml:space="preserve"> </w:t>
      </w:r>
      <w:r>
        <w:rPr>
          <w:b/>
        </w:rPr>
        <w:tab/>
      </w:r>
      <w:r w:rsidRPr="00623B1D">
        <w:rPr>
          <w:b/>
          <w:sz w:val="24"/>
          <w:szCs w:val="24"/>
        </w:rPr>
        <w:t>2.  Values.</w:t>
      </w:r>
      <w:r w:rsidRPr="00623B1D">
        <w:rPr>
          <w:sz w:val="24"/>
          <w:szCs w:val="24"/>
        </w:rPr>
        <w:t xml:space="preserve">  The 17 Principles of Environmental Justice can seem </w:t>
      </w:r>
      <w:r>
        <w:rPr>
          <w:sz w:val="24"/>
          <w:szCs w:val="24"/>
        </w:rPr>
        <w:t xml:space="preserve">like </w:t>
      </w:r>
      <w:r w:rsidRPr="00623B1D">
        <w:rPr>
          <w:sz w:val="24"/>
          <w:szCs w:val="24"/>
        </w:rPr>
        <w:t xml:space="preserve">a lot to take in.  </w:t>
      </w:r>
      <w:r>
        <w:rPr>
          <w:sz w:val="24"/>
          <w:szCs w:val="24"/>
        </w:rPr>
        <w:t xml:space="preserve">To begin to comprehend the 17 Principles, it might help students to understand something of the time and place where the Principles were created:  The First National People of Color Environmental Leadership Summit, held in Washington, D.C., over four days in October 1991.  Attended by more than 650 activists and leaders from all across the country and as far away as Mexico, Chile, and the Marshall Islands, the Summit “broadened the environmental justice movement beyond its early anti-toxics focus to include issues of public health, worker safety, land use, transportation, housing, resource allocation and community empowerment.” </w:t>
      </w:r>
      <w:r w:rsidRPr="00204B96">
        <w:rPr>
          <w:smallCaps/>
          <w:sz w:val="24"/>
          <w:szCs w:val="24"/>
        </w:rPr>
        <w:t xml:space="preserve">Robert Bullard, </w:t>
      </w:r>
      <w:r w:rsidRPr="00204B96">
        <w:rPr>
          <w:i/>
          <w:smallCaps/>
          <w:sz w:val="24"/>
          <w:szCs w:val="24"/>
        </w:rPr>
        <w:t>et al</w:t>
      </w:r>
      <w:r w:rsidRPr="00204B96">
        <w:rPr>
          <w:smallCaps/>
          <w:sz w:val="24"/>
          <w:szCs w:val="24"/>
        </w:rPr>
        <w:t>., Toxic Wastes and Race at Twenty</w:t>
      </w:r>
      <w:r>
        <w:rPr>
          <w:sz w:val="24"/>
          <w:szCs w:val="24"/>
        </w:rPr>
        <w:t xml:space="preserve"> at 3 (2007).  In a way, the 17 Principles of Environmental Justice provide students with another opportunity to practice their “listening” skills as they hear the voices of activists across space and time gathered for one special moment to share an extraordinary range of community concerns.</w:t>
      </w:r>
    </w:p>
    <w:p w14:paraId="565DB377" w14:textId="77777777" w:rsidR="0070589C" w:rsidRDefault="0070589C" w:rsidP="0070589C">
      <w:pPr>
        <w:jc w:val="both"/>
        <w:rPr>
          <w:sz w:val="24"/>
          <w:szCs w:val="24"/>
        </w:rPr>
      </w:pPr>
    </w:p>
    <w:p w14:paraId="63BAD22A" w14:textId="77777777" w:rsidR="0070589C" w:rsidRDefault="0070589C" w:rsidP="0070589C">
      <w:pPr>
        <w:ind w:right="540" w:firstLine="720"/>
        <w:jc w:val="both"/>
        <w:rPr>
          <w:sz w:val="24"/>
          <w:szCs w:val="24"/>
        </w:rPr>
      </w:pPr>
      <w:r>
        <w:rPr>
          <w:sz w:val="24"/>
          <w:szCs w:val="24"/>
        </w:rPr>
        <w:t xml:space="preserve">Taking a closer look at </w:t>
      </w:r>
      <w:r w:rsidRPr="00623B1D">
        <w:rPr>
          <w:sz w:val="24"/>
          <w:szCs w:val="24"/>
        </w:rPr>
        <w:t xml:space="preserve">the 17 Principles, students should find examples of all four dimensions of environmental justice as described by Kuehn.  For example, the dimension of corrective justice </w:t>
      </w:r>
      <w:r>
        <w:rPr>
          <w:sz w:val="24"/>
          <w:szCs w:val="24"/>
        </w:rPr>
        <w:t xml:space="preserve">appears </w:t>
      </w:r>
      <w:r w:rsidRPr="00623B1D">
        <w:rPr>
          <w:sz w:val="24"/>
          <w:szCs w:val="24"/>
        </w:rPr>
        <w:t>in Principle 9:  “Environmental justice protects the right of victims of environmental injustice to receive full compensation and reparations for damages as well as quality health care.”  Similarly, s</w:t>
      </w:r>
      <w:r>
        <w:rPr>
          <w:sz w:val="24"/>
          <w:szCs w:val="24"/>
        </w:rPr>
        <w:t xml:space="preserve">tudents should also recognize </w:t>
      </w:r>
      <w:r w:rsidRPr="00623B1D">
        <w:rPr>
          <w:sz w:val="24"/>
          <w:szCs w:val="24"/>
        </w:rPr>
        <w:t xml:space="preserve">plentiful examples within the 17 Principles of the values of “fair treatment” and “meaningful </w:t>
      </w:r>
      <w:r>
        <w:rPr>
          <w:sz w:val="24"/>
          <w:szCs w:val="24"/>
        </w:rPr>
        <w:t>involvement,</w:t>
      </w:r>
      <w:r w:rsidRPr="00623B1D">
        <w:rPr>
          <w:sz w:val="24"/>
          <w:szCs w:val="24"/>
        </w:rPr>
        <w:t>”</w:t>
      </w:r>
      <w:r>
        <w:rPr>
          <w:sz w:val="24"/>
          <w:szCs w:val="24"/>
        </w:rPr>
        <w:t xml:space="preserve"> including the clear call for meaningful involvement in Principle 7:  “Environmental justice demands the right to participate as equal partners at every level of decision-making including needs assessment, planning, implementation, enforcement and evaluation.” </w:t>
      </w:r>
    </w:p>
    <w:p w14:paraId="111D91B8" w14:textId="77777777" w:rsidR="0070589C" w:rsidRDefault="0070589C" w:rsidP="0070589C">
      <w:pPr>
        <w:jc w:val="both"/>
        <w:rPr>
          <w:sz w:val="24"/>
          <w:szCs w:val="24"/>
        </w:rPr>
      </w:pPr>
    </w:p>
    <w:p w14:paraId="366BE802" w14:textId="11AD7C5C" w:rsidR="0070589C" w:rsidRDefault="0070589C" w:rsidP="0070589C">
      <w:pPr>
        <w:ind w:right="540"/>
        <w:jc w:val="both"/>
        <w:rPr>
          <w:sz w:val="24"/>
          <w:szCs w:val="24"/>
        </w:rPr>
      </w:pPr>
      <w:r>
        <w:rPr>
          <w:sz w:val="24"/>
          <w:szCs w:val="24"/>
        </w:rPr>
        <w:tab/>
      </w:r>
      <w:r w:rsidRPr="00841FD9">
        <w:rPr>
          <w:b/>
          <w:sz w:val="24"/>
          <w:szCs w:val="24"/>
        </w:rPr>
        <w:t xml:space="preserve">3.  </w:t>
      </w:r>
      <w:r w:rsidR="00721640">
        <w:rPr>
          <w:b/>
          <w:sz w:val="24"/>
          <w:szCs w:val="24"/>
        </w:rPr>
        <w:t>The Principles of Environmental Justice</w:t>
      </w:r>
      <w:r w:rsidRPr="00841FD9">
        <w:rPr>
          <w:b/>
          <w:sz w:val="24"/>
          <w:szCs w:val="24"/>
        </w:rPr>
        <w:t>.</w:t>
      </w:r>
      <w:r>
        <w:rPr>
          <w:sz w:val="24"/>
          <w:szCs w:val="24"/>
        </w:rPr>
        <w:t xml:space="preserve">  After considering the extraordinary breadth of the 17 Principles of Environmental Justice, some students may see an inspiring call to action while other students may see a monument to wishful thinking, stacked with unrealistic and potentially conflicting demands.  For this latter group of students, what could anyone possibly expect to achieve through the 17 Principles?  One answer may lie in the way that the Principles truly did help expand the scope of environmental justice, as Dr. Bullard acknowledged in </w:t>
      </w:r>
      <w:r w:rsidRPr="00A442C6">
        <w:rPr>
          <w:smallCaps/>
          <w:sz w:val="24"/>
          <w:szCs w:val="24"/>
        </w:rPr>
        <w:t>Toxics Wastes and Race at Twenty.</w:t>
      </w:r>
      <w:r>
        <w:rPr>
          <w:smallCaps/>
          <w:sz w:val="24"/>
          <w:szCs w:val="24"/>
        </w:rPr>
        <w:t xml:space="preserve">  </w:t>
      </w:r>
      <w:r>
        <w:rPr>
          <w:sz w:val="24"/>
          <w:szCs w:val="24"/>
        </w:rPr>
        <w:t xml:space="preserve">As the product of activists from across the nation and as far away as the Marshall Islands and Chile, the 17 </w:t>
      </w:r>
      <w:r w:rsidRPr="001B0C88">
        <w:rPr>
          <w:sz w:val="24"/>
          <w:szCs w:val="24"/>
        </w:rPr>
        <w:t xml:space="preserve">Principles </w:t>
      </w:r>
      <w:r>
        <w:rPr>
          <w:sz w:val="24"/>
          <w:szCs w:val="24"/>
        </w:rPr>
        <w:t xml:space="preserve">also </w:t>
      </w:r>
      <w:r>
        <w:rPr>
          <w:sz w:val="24"/>
          <w:szCs w:val="24"/>
        </w:rPr>
        <w:lastRenderedPageBreak/>
        <w:t xml:space="preserve">helped to expand environmental justice into an international movement and a movement for </w:t>
      </w:r>
      <w:r w:rsidR="001B00A1">
        <w:rPr>
          <w:sz w:val="24"/>
          <w:szCs w:val="24"/>
        </w:rPr>
        <w:t>I</w:t>
      </w:r>
      <w:r>
        <w:rPr>
          <w:sz w:val="24"/>
          <w:szCs w:val="24"/>
        </w:rPr>
        <w:t xml:space="preserve">ndigenous rights.  Even today, scholars on the cutting edge of environmental justice research, exploring such concerns as food justice and eco-justice, can likely find historical roots within the 17 Principles.  </w:t>
      </w:r>
    </w:p>
    <w:p w14:paraId="64B055FD" w14:textId="77777777" w:rsidR="0070589C" w:rsidRDefault="0070589C" w:rsidP="0070589C">
      <w:pPr>
        <w:jc w:val="both"/>
        <w:rPr>
          <w:sz w:val="24"/>
          <w:szCs w:val="24"/>
        </w:rPr>
      </w:pPr>
    </w:p>
    <w:p w14:paraId="5BDFACC4" w14:textId="77777777" w:rsidR="0070589C" w:rsidRDefault="0070589C" w:rsidP="0070589C">
      <w:pPr>
        <w:ind w:right="540" w:firstLine="720"/>
        <w:jc w:val="both"/>
        <w:rPr>
          <w:sz w:val="24"/>
          <w:szCs w:val="24"/>
        </w:rPr>
      </w:pPr>
      <w:r>
        <w:rPr>
          <w:sz w:val="24"/>
          <w:szCs w:val="24"/>
        </w:rPr>
        <w:t xml:space="preserve">Another response to the question of expectations may now reflect simple hindsight:  whether or not the 17 Principles called for radical social and legal reform, that did not happen, at least in the United States.  But plenty of incremental progress towards environmental justice has been made since the 17 Principles were crafted, in areas including standard setting, permitting, enforcement, cleanup, indigenous rights, state legislation, climate mitigation, and other concerns explored through other chapters of this book. </w:t>
      </w:r>
    </w:p>
    <w:p w14:paraId="2EF3BD96" w14:textId="77777777" w:rsidR="0070589C" w:rsidRDefault="0070589C" w:rsidP="0070589C">
      <w:pPr>
        <w:ind w:firstLine="360"/>
        <w:jc w:val="both"/>
        <w:rPr>
          <w:sz w:val="24"/>
          <w:szCs w:val="24"/>
        </w:rPr>
      </w:pPr>
    </w:p>
    <w:p w14:paraId="57BCE9EC" w14:textId="1A2C2BE3" w:rsidR="0070589C" w:rsidRDefault="0070589C" w:rsidP="0070589C">
      <w:pPr>
        <w:ind w:right="540" w:firstLine="720"/>
        <w:jc w:val="both"/>
        <w:rPr>
          <w:sz w:val="24"/>
          <w:szCs w:val="24"/>
        </w:rPr>
      </w:pPr>
      <w:r w:rsidRPr="007F2AB9">
        <w:rPr>
          <w:b/>
          <w:sz w:val="24"/>
          <w:szCs w:val="24"/>
        </w:rPr>
        <w:t>4.  The “Group of Ten” letter.</w:t>
      </w:r>
      <w:r>
        <w:rPr>
          <w:sz w:val="24"/>
          <w:szCs w:val="24"/>
        </w:rPr>
        <w:t xml:space="preserve">  This historical note is mostly self-explanatory, recognizing that much progress has been made in the last three decades toward diversifying both the composition of mainstream environmental organizations and their policies and agenda.  A useful exercise for students here would be to have them do some Internet research on major environmental organizations (specifically including the “Group of Ten” plus newer organizations such as Earthjustice and the Center for Biological Diversity) and evaluate the kinds of work they do and the diversity of their staff and board members.  </w:t>
      </w:r>
      <w:r w:rsidR="001F67D5">
        <w:rPr>
          <w:sz w:val="24"/>
          <w:szCs w:val="24"/>
        </w:rPr>
        <w:t>Note also that in between lo</w:t>
      </w:r>
      <w:r w:rsidR="00BA2C0C">
        <w:rPr>
          <w:sz w:val="24"/>
          <w:szCs w:val="24"/>
        </w:rPr>
        <w:t xml:space="preserve">cal </w:t>
      </w:r>
      <w:r w:rsidR="001F67D5">
        <w:rPr>
          <w:sz w:val="24"/>
          <w:szCs w:val="24"/>
        </w:rPr>
        <w:t>and national organizations, many regional environmental organizations</w:t>
      </w:r>
      <w:r w:rsidR="00BA2C0C">
        <w:rPr>
          <w:sz w:val="24"/>
          <w:szCs w:val="24"/>
        </w:rPr>
        <w:t>, such as the Southern Environmental Law Center</w:t>
      </w:r>
      <w:r w:rsidR="00FF0BBC">
        <w:rPr>
          <w:sz w:val="24"/>
          <w:szCs w:val="24"/>
        </w:rPr>
        <w:t xml:space="preserve"> and t</w:t>
      </w:r>
      <w:r w:rsidR="004B68C6">
        <w:rPr>
          <w:sz w:val="24"/>
          <w:szCs w:val="24"/>
        </w:rPr>
        <w:t xml:space="preserve">he </w:t>
      </w:r>
      <w:r w:rsidR="00BA2C0C">
        <w:rPr>
          <w:sz w:val="24"/>
          <w:szCs w:val="24"/>
        </w:rPr>
        <w:t>Western Environmental Law Center</w:t>
      </w:r>
      <w:r w:rsidR="00825CFA">
        <w:rPr>
          <w:sz w:val="24"/>
          <w:szCs w:val="24"/>
        </w:rPr>
        <w:t>,</w:t>
      </w:r>
      <w:r w:rsidR="00FF0BBC">
        <w:rPr>
          <w:sz w:val="24"/>
          <w:szCs w:val="24"/>
        </w:rPr>
        <w:t xml:space="preserve"> have </w:t>
      </w:r>
      <w:r w:rsidR="00BA2C0C">
        <w:rPr>
          <w:sz w:val="24"/>
          <w:szCs w:val="24"/>
        </w:rPr>
        <w:t xml:space="preserve">emerged </w:t>
      </w:r>
      <w:r w:rsidR="00825CFA">
        <w:rPr>
          <w:sz w:val="24"/>
          <w:szCs w:val="24"/>
        </w:rPr>
        <w:t xml:space="preserve">and now play important roles in environmental protection.  </w:t>
      </w:r>
      <w:r>
        <w:rPr>
          <w:sz w:val="24"/>
          <w:szCs w:val="24"/>
        </w:rPr>
        <w:t xml:space="preserve">How much of their work now appears related in some way to environmental justice?  </w:t>
      </w:r>
    </w:p>
    <w:p w14:paraId="0566F90D" w14:textId="77777777" w:rsidR="0070589C" w:rsidRDefault="0070589C" w:rsidP="0070589C">
      <w:pPr>
        <w:ind w:firstLine="360"/>
        <w:jc w:val="both"/>
        <w:rPr>
          <w:sz w:val="24"/>
          <w:szCs w:val="24"/>
        </w:rPr>
      </w:pPr>
    </w:p>
    <w:p w14:paraId="63F26F85" w14:textId="005BED76" w:rsidR="0070589C" w:rsidRDefault="00940FEB" w:rsidP="00940FEB">
      <w:pPr>
        <w:pStyle w:val="BodyText"/>
        <w:kinsoku w:val="0"/>
        <w:overflowPunct w:val="0"/>
        <w:ind w:right="897" w:firstLine="720"/>
        <w:jc w:val="both"/>
        <w:rPr>
          <w:bCs/>
        </w:rPr>
      </w:pPr>
      <w:r>
        <w:rPr>
          <w:b/>
        </w:rPr>
        <w:t xml:space="preserve">E.  </w:t>
      </w:r>
      <w:r w:rsidR="0051615E">
        <w:rPr>
          <w:b/>
        </w:rPr>
        <w:t>Conclusion</w:t>
      </w:r>
      <w:r w:rsidR="0086614F">
        <w:rPr>
          <w:b/>
        </w:rPr>
        <w:t xml:space="preserve">.  </w:t>
      </w:r>
      <w:r w:rsidR="0086614F" w:rsidRPr="0086614F">
        <w:rPr>
          <w:bCs/>
        </w:rPr>
        <w:t>Th</w:t>
      </w:r>
      <w:r w:rsidR="00751C21">
        <w:rPr>
          <w:bCs/>
        </w:rPr>
        <w:t>e chapter concludes</w:t>
      </w:r>
      <w:r w:rsidR="0086614F" w:rsidRPr="0086614F">
        <w:rPr>
          <w:bCs/>
        </w:rPr>
        <w:t xml:space="preserve"> </w:t>
      </w:r>
      <w:r w:rsidR="0086614F">
        <w:rPr>
          <w:bCs/>
        </w:rPr>
        <w:t xml:space="preserve">with </w:t>
      </w:r>
      <w:r>
        <w:rPr>
          <w:bCs/>
        </w:rPr>
        <w:t xml:space="preserve">a few </w:t>
      </w:r>
      <w:r w:rsidR="0086614F">
        <w:rPr>
          <w:bCs/>
        </w:rPr>
        <w:t>important note</w:t>
      </w:r>
      <w:r>
        <w:rPr>
          <w:bCs/>
        </w:rPr>
        <w:t>s</w:t>
      </w:r>
      <w:r w:rsidR="0086614F">
        <w:rPr>
          <w:bCs/>
        </w:rPr>
        <w:t xml:space="preserve"> about nomenclature.</w:t>
      </w:r>
      <w:r w:rsidR="00DC1FCD">
        <w:rPr>
          <w:bCs/>
        </w:rPr>
        <w:t xml:space="preserve">  </w:t>
      </w:r>
      <w:r w:rsidR="00634C4E">
        <w:rPr>
          <w:bCs/>
        </w:rPr>
        <w:t>In the space between EPA’s longstanding definition of “environmental justice” and the Trump administration</w:t>
      </w:r>
      <w:r w:rsidR="00465C99">
        <w:rPr>
          <w:bCs/>
        </w:rPr>
        <w:t>’s</w:t>
      </w:r>
      <w:r w:rsidR="00634C4E">
        <w:rPr>
          <w:bCs/>
        </w:rPr>
        <w:t xml:space="preserve"> elimination of it, the book generally </w:t>
      </w:r>
      <w:r w:rsidR="00465C99">
        <w:rPr>
          <w:bCs/>
        </w:rPr>
        <w:t xml:space="preserve">continues to apply the longstanding definition, particularly recognizing that </w:t>
      </w:r>
      <w:r w:rsidR="00A34514">
        <w:rPr>
          <w:bCs/>
        </w:rPr>
        <w:t xml:space="preserve">many </w:t>
      </w:r>
      <w:r w:rsidR="00465C99">
        <w:rPr>
          <w:bCs/>
        </w:rPr>
        <w:t>states and other organizations</w:t>
      </w:r>
      <w:r w:rsidR="00A34514">
        <w:rPr>
          <w:bCs/>
        </w:rPr>
        <w:t xml:space="preserve"> </w:t>
      </w:r>
      <w:r w:rsidR="00465C99">
        <w:rPr>
          <w:bCs/>
        </w:rPr>
        <w:t xml:space="preserve">adopt this definition as well.  </w:t>
      </w:r>
      <w:r w:rsidR="00B9063B">
        <w:rPr>
          <w:bCs/>
        </w:rPr>
        <w:t xml:space="preserve">At the same, new </w:t>
      </w:r>
      <w:r w:rsidR="00784FDE">
        <w:rPr>
          <w:bCs/>
        </w:rPr>
        <w:t>elements</w:t>
      </w:r>
      <w:r w:rsidR="00B9063B">
        <w:rPr>
          <w:bCs/>
        </w:rPr>
        <w:t>, including those from the Biden 2023 definition</w:t>
      </w:r>
      <w:r w:rsidR="00784FDE">
        <w:rPr>
          <w:bCs/>
        </w:rPr>
        <w:t xml:space="preserve">, may be considered along with </w:t>
      </w:r>
      <w:r w:rsidR="003A3B2C">
        <w:rPr>
          <w:bCs/>
        </w:rPr>
        <w:t>definitions reflecting unique concerns of individual communities, consistent with “We speak for ourselves.”</w:t>
      </w:r>
    </w:p>
    <w:p w14:paraId="6FDB9BE4" w14:textId="1FF0D375" w:rsidR="003A3B2C" w:rsidRPr="0086614F" w:rsidRDefault="00DC385F" w:rsidP="00940FEB">
      <w:pPr>
        <w:pStyle w:val="BodyText"/>
        <w:kinsoku w:val="0"/>
        <w:overflowPunct w:val="0"/>
        <w:ind w:right="897" w:firstLine="720"/>
        <w:jc w:val="both"/>
        <w:rPr>
          <w:bCs/>
        </w:rPr>
      </w:pPr>
      <w:r>
        <w:rPr>
          <w:bCs/>
        </w:rPr>
        <w:t xml:space="preserve">Along with the definition of environmental justice, instructors should also emphasize </w:t>
      </w:r>
      <w:r w:rsidR="00A02B33">
        <w:rPr>
          <w:bCs/>
        </w:rPr>
        <w:t>sensitivity to labels such as “EJ community.”  Some communities may embrace the recogni</w:t>
      </w:r>
      <w:r w:rsidR="008E5ED2">
        <w:rPr>
          <w:bCs/>
        </w:rPr>
        <w:t>tion, feeling seen and heard</w:t>
      </w:r>
      <w:r w:rsidR="00CB3FB9">
        <w:rPr>
          <w:bCs/>
        </w:rPr>
        <w:t xml:space="preserve">, perhaps with hope </w:t>
      </w:r>
      <w:r w:rsidR="007B417E">
        <w:rPr>
          <w:bCs/>
        </w:rPr>
        <w:t xml:space="preserve">that visibility may help </w:t>
      </w:r>
      <w:r w:rsidR="00103A03">
        <w:rPr>
          <w:bCs/>
        </w:rPr>
        <w:t xml:space="preserve">draw the attention and resources they may need for addressing concerns.  On the other hand, </w:t>
      </w:r>
      <w:r w:rsidR="00B34A34">
        <w:rPr>
          <w:bCs/>
        </w:rPr>
        <w:t xml:space="preserve">different </w:t>
      </w:r>
      <w:r w:rsidR="00103A03">
        <w:rPr>
          <w:bCs/>
        </w:rPr>
        <w:t xml:space="preserve">communities </w:t>
      </w:r>
      <w:r w:rsidR="00B34A34">
        <w:rPr>
          <w:bCs/>
        </w:rPr>
        <w:t xml:space="preserve">(or community members) </w:t>
      </w:r>
      <w:r w:rsidR="00103A03">
        <w:rPr>
          <w:bCs/>
        </w:rPr>
        <w:t xml:space="preserve">may object </w:t>
      </w:r>
      <w:r w:rsidR="00B34A34">
        <w:rPr>
          <w:bCs/>
        </w:rPr>
        <w:t xml:space="preserve">to such labels, </w:t>
      </w:r>
      <w:r w:rsidR="00EC7584">
        <w:rPr>
          <w:bCs/>
        </w:rPr>
        <w:t>hearing echoes of redlining, fearing impacts on pro</w:t>
      </w:r>
      <w:r w:rsidR="00606B9F">
        <w:rPr>
          <w:bCs/>
        </w:rPr>
        <w:t>perty</w:t>
      </w:r>
      <w:r w:rsidR="00EC7584">
        <w:rPr>
          <w:bCs/>
        </w:rPr>
        <w:t xml:space="preserve"> values, and </w:t>
      </w:r>
      <w:r w:rsidR="00841419">
        <w:rPr>
          <w:bCs/>
        </w:rPr>
        <w:t xml:space="preserve">raising other concerns.  To that end, the opening notes to </w:t>
      </w:r>
      <w:r w:rsidR="0095214F">
        <w:rPr>
          <w:bCs/>
        </w:rPr>
        <w:t xml:space="preserve">Chapter 1 </w:t>
      </w:r>
      <w:r w:rsidR="007926A9">
        <w:rPr>
          <w:bCs/>
        </w:rPr>
        <w:t xml:space="preserve">identify areas with EJ concerns </w:t>
      </w:r>
      <w:r w:rsidR="000B332C">
        <w:rPr>
          <w:bCs/>
        </w:rPr>
        <w:t>without affixing labels as “EJ communities</w:t>
      </w:r>
      <w:r w:rsidR="00705DE1">
        <w:rPr>
          <w:bCs/>
        </w:rPr>
        <w:t xml:space="preserve">” – a practice generally followed throughout the book.  The best practice, however, </w:t>
      </w:r>
      <w:r w:rsidR="00040436">
        <w:rPr>
          <w:bCs/>
        </w:rPr>
        <w:t xml:space="preserve">probably remains in listening to individual communities and community members and reflecting back </w:t>
      </w:r>
      <w:r w:rsidR="002343EE">
        <w:rPr>
          <w:bCs/>
        </w:rPr>
        <w:t>their own preferences.</w:t>
      </w:r>
    </w:p>
    <w:p w14:paraId="5579B8DD" w14:textId="77777777" w:rsidR="0086614F" w:rsidRDefault="0086614F">
      <w:pPr>
        <w:widowControl/>
        <w:autoSpaceDE/>
        <w:autoSpaceDN/>
        <w:adjustRightInd/>
        <w:rPr>
          <w:sz w:val="24"/>
          <w:szCs w:val="24"/>
        </w:rPr>
      </w:pPr>
    </w:p>
    <w:p w14:paraId="66AD37ED" w14:textId="02C833D9" w:rsidR="0086614F" w:rsidRDefault="0086614F">
      <w:pPr>
        <w:widowControl/>
        <w:autoSpaceDE/>
        <w:autoSpaceDN/>
        <w:adjustRightInd/>
        <w:rPr>
          <w:sz w:val="24"/>
          <w:szCs w:val="24"/>
        </w:rPr>
      </w:pPr>
      <w:r>
        <w:rPr>
          <w:sz w:val="24"/>
          <w:szCs w:val="24"/>
        </w:rPr>
        <w:br w:type="page"/>
      </w:r>
    </w:p>
    <w:p w14:paraId="767BB47E" w14:textId="77777777" w:rsidR="00AF3D99" w:rsidRDefault="00AF3D99">
      <w:pPr>
        <w:widowControl/>
        <w:autoSpaceDE/>
        <w:autoSpaceDN/>
        <w:adjustRightInd/>
        <w:rPr>
          <w:sz w:val="24"/>
          <w:szCs w:val="24"/>
        </w:rPr>
      </w:pPr>
    </w:p>
    <w:p w14:paraId="1A57AD79" w14:textId="77777777" w:rsidR="0051615E" w:rsidRDefault="0051615E">
      <w:pPr>
        <w:widowControl/>
        <w:autoSpaceDE/>
        <w:autoSpaceDN/>
        <w:adjustRightInd/>
        <w:rPr>
          <w:sz w:val="24"/>
          <w:szCs w:val="24"/>
        </w:rPr>
      </w:pPr>
    </w:p>
    <w:p w14:paraId="1E978ADE" w14:textId="77777777" w:rsidR="0070589C" w:rsidRDefault="0070589C" w:rsidP="0070589C">
      <w:pPr>
        <w:pStyle w:val="BodyText"/>
        <w:kinsoku w:val="0"/>
        <w:overflowPunct w:val="0"/>
        <w:ind w:right="897"/>
        <w:jc w:val="both"/>
      </w:pPr>
    </w:p>
    <w:p w14:paraId="7B8F24F5" w14:textId="4766EFE6" w:rsidR="00667ADF" w:rsidRDefault="0070589C" w:rsidP="00667ADF">
      <w:pPr>
        <w:pStyle w:val="Heading1"/>
        <w:tabs>
          <w:tab w:val="left" w:pos="2487"/>
        </w:tabs>
        <w:kinsoku w:val="0"/>
        <w:overflowPunct w:val="0"/>
        <w:spacing w:before="59"/>
        <w:ind w:left="0"/>
        <w:jc w:val="both"/>
        <w:rPr>
          <w:sz w:val="32"/>
          <w:szCs w:val="32"/>
        </w:rPr>
      </w:pPr>
      <w:bookmarkStart w:id="0" w:name="Page_17"/>
      <w:bookmarkEnd w:id="0"/>
      <w:r w:rsidRPr="001770E4">
        <w:rPr>
          <w:sz w:val="32"/>
          <w:szCs w:val="32"/>
        </w:rPr>
        <w:t>Chapter 2</w:t>
      </w:r>
    </w:p>
    <w:p w14:paraId="530E3002" w14:textId="486806B8" w:rsidR="00667ADF" w:rsidRDefault="00667ADF">
      <w:pPr>
        <w:widowControl/>
        <w:autoSpaceDE/>
        <w:autoSpaceDN/>
        <w:adjustRightInd/>
        <w:rPr>
          <w:b/>
          <w:bCs/>
          <w:sz w:val="32"/>
          <w:szCs w:val="32"/>
        </w:rPr>
      </w:pPr>
    </w:p>
    <w:p w14:paraId="3AB185CD" w14:textId="77777777" w:rsidR="0070589C" w:rsidRPr="001770E4" w:rsidRDefault="0070589C" w:rsidP="00667ADF">
      <w:pPr>
        <w:pStyle w:val="Heading1"/>
        <w:tabs>
          <w:tab w:val="left" w:pos="2487"/>
        </w:tabs>
        <w:kinsoku w:val="0"/>
        <w:overflowPunct w:val="0"/>
        <w:spacing w:before="59"/>
        <w:ind w:left="0"/>
        <w:jc w:val="both"/>
        <w:rPr>
          <w:sz w:val="28"/>
          <w:szCs w:val="28"/>
        </w:rPr>
      </w:pPr>
    </w:p>
    <w:p w14:paraId="3D89D519" w14:textId="77777777" w:rsidR="0070589C" w:rsidRPr="001770E4" w:rsidRDefault="0070589C" w:rsidP="0070589C">
      <w:pPr>
        <w:pStyle w:val="Heading1"/>
        <w:tabs>
          <w:tab w:val="left" w:pos="2487"/>
        </w:tabs>
        <w:kinsoku w:val="0"/>
        <w:overflowPunct w:val="0"/>
        <w:spacing w:before="59"/>
        <w:ind w:left="0"/>
        <w:jc w:val="both"/>
        <w:rPr>
          <w:sz w:val="32"/>
          <w:szCs w:val="32"/>
        </w:rPr>
      </w:pPr>
      <w:r w:rsidRPr="001770E4">
        <w:rPr>
          <w:sz w:val="32"/>
          <w:szCs w:val="32"/>
        </w:rPr>
        <w:t>Theories of</w:t>
      </w:r>
      <w:r w:rsidRPr="001770E4">
        <w:rPr>
          <w:spacing w:val="-8"/>
          <w:sz w:val="32"/>
          <w:szCs w:val="32"/>
        </w:rPr>
        <w:t xml:space="preserve"> </w:t>
      </w:r>
      <w:r w:rsidRPr="001770E4">
        <w:rPr>
          <w:sz w:val="32"/>
          <w:szCs w:val="32"/>
        </w:rPr>
        <w:t xml:space="preserve">Causation </w:t>
      </w:r>
    </w:p>
    <w:p w14:paraId="6BC0F0ED" w14:textId="77777777" w:rsidR="0070589C" w:rsidRPr="00C3365C" w:rsidRDefault="0070589C" w:rsidP="0070589C">
      <w:pPr>
        <w:pStyle w:val="BodyText"/>
        <w:kinsoku w:val="0"/>
        <w:overflowPunct w:val="0"/>
        <w:jc w:val="both"/>
        <w:rPr>
          <w:b/>
          <w:bCs/>
        </w:rPr>
      </w:pPr>
    </w:p>
    <w:p w14:paraId="63E7B3EC" w14:textId="77777777" w:rsidR="0070589C" w:rsidRPr="00C3365C" w:rsidRDefault="0070589C" w:rsidP="0070589C">
      <w:pPr>
        <w:pStyle w:val="BodyText"/>
        <w:kinsoku w:val="0"/>
        <w:overflowPunct w:val="0"/>
        <w:spacing w:before="1"/>
        <w:ind w:right="540" w:firstLine="720"/>
        <w:jc w:val="both"/>
      </w:pPr>
      <w:r w:rsidRPr="00C3365C">
        <w:t>There are several approaches one can take to teach this chapter. One approach is a linear discussion of the chapter materials. Another approach is an interactive rol</w:t>
      </w:r>
      <w:r>
        <w:t>e-</w:t>
      </w:r>
      <w:r w:rsidRPr="00C3365C">
        <w:t xml:space="preserve">play exercise designed to allow students to identify factors that enter into siting decisions, from economically rational explanations to more subtle socio-political and racial factors that are at play. The </w:t>
      </w:r>
      <w:r>
        <w:t>role-play</w:t>
      </w:r>
      <w:r w:rsidRPr="00C3365C">
        <w:t xml:space="preserve"> is adapted from an exercise designed by adjunct professor and attorney Peter Hsao, at Morrison &amp; Foerster in Los Angeles, with the casebook authors adding in the Native American angle. The following is the exercise, but we have also attached to the end of this chapter a version that can be photocopied as a handout.</w:t>
      </w:r>
    </w:p>
    <w:p w14:paraId="4AEE6071" w14:textId="77777777" w:rsidR="0070589C" w:rsidRPr="00C3365C" w:rsidRDefault="0070589C" w:rsidP="0070589C">
      <w:pPr>
        <w:pStyle w:val="BodyText"/>
        <w:kinsoku w:val="0"/>
        <w:overflowPunct w:val="0"/>
        <w:jc w:val="both"/>
      </w:pPr>
    </w:p>
    <w:p w14:paraId="35F6A49F" w14:textId="77777777" w:rsidR="0070589C" w:rsidRPr="00C14669" w:rsidRDefault="0070589C" w:rsidP="0070589C">
      <w:pPr>
        <w:pStyle w:val="Heading1"/>
        <w:kinsoku w:val="0"/>
        <w:overflowPunct w:val="0"/>
        <w:ind w:left="0"/>
        <w:jc w:val="both"/>
        <w:rPr>
          <w:sz w:val="28"/>
          <w:szCs w:val="28"/>
        </w:rPr>
      </w:pPr>
      <w:r w:rsidRPr="00C14669">
        <w:rPr>
          <w:sz w:val="28"/>
          <w:szCs w:val="28"/>
        </w:rPr>
        <w:t xml:space="preserve">Classroom Exercise - Sabretooth Hypothetical </w:t>
      </w:r>
    </w:p>
    <w:p w14:paraId="52162BDF" w14:textId="77777777" w:rsidR="0070589C" w:rsidRDefault="0070589C" w:rsidP="0070589C">
      <w:pPr>
        <w:pStyle w:val="BodyText"/>
        <w:kinsoku w:val="0"/>
        <w:overflowPunct w:val="0"/>
        <w:ind w:right="720"/>
      </w:pPr>
    </w:p>
    <w:p w14:paraId="379DE81F" w14:textId="77777777" w:rsidR="0070589C" w:rsidRPr="00C3365C" w:rsidRDefault="0070589C" w:rsidP="0070589C">
      <w:pPr>
        <w:pStyle w:val="BodyText"/>
        <w:kinsoku w:val="0"/>
        <w:overflowPunct w:val="0"/>
        <w:ind w:right="540" w:firstLine="720"/>
        <w:jc w:val="both"/>
      </w:pPr>
      <w:r w:rsidRPr="00C3365C">
        <w:t>The Sabretooth Mountain Range in the State of Mind is an area of</w:t>
      </w:r>
      <w:r>
        <w:t xml:space="preserve"> </w:t>
      </w:r>
      <w:r w:rsidRPr="00C3365C">
        <w:t xml:space="preserve">uncommon beauty, and the land surrounding Townville is owned by the United States and is especially unique because of its scenic vistas and waterfalls. As a result, the Townville area has recently attracted a large number of wealthy residents who have purchased most of the available land for their private homes, </w:t>
      </w:r>
      <w:r w:rsidRPr="00C3365C">
        <w:rPr>
          <w:spacing w:val="-15"/>
        </w:rPr>
        <w:t xml:space="preserve">a </w:t>
      </w:r>
      <w:r w:rsidRPr="00C3365C">
        <w:t>number of golf courses</w:t>
      </w:r>
      <w:r>
        <w:t>,</w:t>
      </w:r>
      <w:r w:rsidRPr="00C3365C">
        <w:t xml:space="preserve"> and three five-star resort facilities. Nevertheless, the recent recession has hit the town hard, and with its traditional industries of logging and mining giving way to those jobs that can be found in the new tourist industry, unemployment is running at greater than</w:t>
      </w:r>
      <w:r w:rsidRPr="00C3365C">
        <w:rPr>
          <w:spacing w:val="-4"/>
        </w:rPr>
        <w:t xml:space="preserve"> </w:t>
      </w:r>
      <w:r w:rsidRPr="00C3365C">
        <w:t>20%.</w:t>
      </w:r>
    </w:p>
    <w:p w14:paraId="3FDECC7F" w14:textId="77777777" w:rsidR="0070589C" w:rsidRDefault="0070589C" w:rsidP="0070589C">
      <w:pPr>
        <w:pStyle w:val="BodyText"/>
        <w:kinsoku w:val="0"/>
        <w:overflowPunct w:val="0"/>
        <w:ind w:right="720"/>
        <w:jc w:val="both"/>
      </w:pPr>
    </w:p>
    <w:p w14:paraId="6157F8CE" w14:textId="77777777" w:rsidR="0070589C" w:rsidRPr="00C3365C" w:rsidRDefault="0070589C" w:rsidP="0070589C">
      <w:pPr>
        <w:pStyle w:val="BodyText"/>
        <w:kinsoku w:val="0"/>
        <w:overflowPunct w:val="0"/>
        <w:ind w:right="540" w:firstLine="720"/>
        <w:jc w:val="both"/>
      </w:pPr>
      <w:r w:rsidRPr="00C3365C">
        <w:t>Recently, Syn-Gen Corporation announced its plans to construct a synthetic fuel facility on leased federal land in the Townville area to convert shale and natural gas found in abundance there into synthetic gasoline. The proposed facility, which will be out of view of the main Townville valley, is purported to use the latest technology to minimize particulate and toxic air emissions, and the impact to the land will be restored to its natural state after 100 year</w:t>
      </w:r>
      <w:r>
        <w:t>s</w:t>
      </w:r>
      <w:r w:rsidRPr="00C3365C">
        <w:t xml:space="preserve"> of operation. However, the project even with the most expensive mitigation measures will cause increased sulfur dioxide and nitrogen oxide emissions, as well as impacts to the land from the facility and the mining operations. The company represents that its project will eliminate unemployment in the area, and that there will be significant environmental benefits from the resulting, low-emission gasoline produced, as well as from reduced tankerage and reduced risk of oil spills from foreign oil imports.</w:t>
      </w:r>
    </w:p>
    <w:p w14:paraId="06F0DA6B" w14:textId="77777777" w:rsidR="0070589C" w:rsidRPr="00C3365C" w:rsidRDefault="0070589C" w:rsidP="0070589C">
      <w:pPr>
        <w:pStyle w:val="BodyText"/>
        <w:kinsoku w:val="0"/>
        <w:overflowPunct w:val="0"/>
        <w:ind w:right="720"/>
        <w:jc w:val="both"/>
      </w:pPr>
    </w:p>
    <w:p w14:paraId="60F7FDB5" w14:textId="601BA055" w:rsidR="0070589C" w:rsidRPr="00C3365C" w:rsidRDefault="3A95F3E5" w:rsidP="0070589C">
      <w:pPr>
        <w:pStyle w:val="BodyText"/>
        <w:kinsoku w:val="0"/>
        <w:overflowPunct w:val="0"/>
        <w:ind w:right="540" w:firstLine="720"/>
        <w:jc w:val="both"/>
        <w:sectPr w:rsidR="0070589C" w:rsidRPr="00C3365C" w:rsidSect="00B35D9A">
          <w:headerReference w:type="default" r:id="rId11"/>
          <w:footerReference w:type="even" r:id="rId12"/>
          <w:footerReference w:type="default" r:id="rId13"/>
          <w:pgSz w:w="12240" w:h="15840"/>
          <w:pgMar w:top="1440" w:right="1440" w:bottom="1440" w:left="1440" w:header="218" w:footer="1353" w:gutter="0"/>
          <w:cols w:space="720"/>
        </w:sectPr>
      </w:pPr>
      <w:r>
        <w:t xml:space="preserve">A Townville landowners’ group, concerned with the project’s impacts on the scenery, a population increase, and the resulting congestion, seeks to halt the project. They have contacted a local environmental group, People Interested in Saving Trees (PIST), and </w:t>
      </w:r>
      <w:r>
        <w:lastRenderedPageBreak/>
        <w:t xml:space="preserve">together they are discussing a joint presentation before the body duly authorized to decide whether the facility will be allowed to go forward on the proposed site. </w:t>
      </w:r>
    </w:p>
    <w:p w14:paraId="24CCE37E" w14:textId="77777777" w:rsidR="0070589C" w:rsidRPr="00C3365C" w:rsidRDefault="0070589C" w:rsidP="0070589C">
      <w:pPr>
        <w:pStyle w:val="BodyText"/>
        <w:kinsoku w:val="0"/>
        <w:overflowPunct w:val="0"/>
        <w:spacing w:before="59"/>
        <w:ind w:right="540" w:firstLine="720"/>
        <w:jc w:val="both"/>
      </w:pPr>
      <w:bookmarkStart w:id="1" w:name="Page_18"/>
      <w:bookmarkEnd w:id="1"/>
      <w:r w:rsidRPr="00C3365C">
        <w:lastRenderedPageBreak/>
        <w:t>To get a sense of how the exercise works in a classroom setting, we set forth a description of how it in fact did play out in one application. This exercise took up a full 2-hour class session and would substitute for a more linear discussion of the chapter materials, which we elaborate upon further below.</w:t>
      </w:r>
    </w:p>
    <w:p w14:paraId="63403156" w14:textId="77777777" w:rsidR="0070589C" w:rsidRPr="00C3365C" w:rsidRDefault="0070589C" w:rsidP="0070589C">
      <w:pPr>
        <w:pStyle w:val="BodyText"/>
        <w:kinsoku w:val="0"/>
        <w:overflowPunct w:val="0"/>
        <w:jc w:val="both"/>
      </w:pPr>
    </w:p>
    <w:p w14:paraId="30B1A4E8" w14:textId="77777777" w:rsidR="0070589C" w:rsidRPr="00C3365C" w:rsidRDefault="0070589C" w:rsidP="0070589C">
      <w:pPr>
        <w:pStyle w:val="BodyText"/>
        <w:kinsoku w:val="0"/>
        <w:overflowPunct w:val="0"/>
        <w:spacing w:before="1"/>
        <w:ind w:right="540" w:firstLine="720"/>
        <w:jc w:val="both"/>
      </w:pPr>
      <w:r w:rsidRPr="00C3365C">
        <w:t>First, in a class of about 20 students, the instructor asked for one group of volunteers (3-4 students), then for another group of volunteers (2-3 students). The rest of the class was told to count off 1-2-1-2, etc., a group of 1s and a group of 2s. The instructor distributed the one page “Sabertooth” hypothetical and then asked the class to split up, with each of the four groups occupying one of the four corners of the room. They were instructed to read and discuss the hypo, which the instructor described as “ambiguous” as to whether it was an environmental justice scenario. It is a scenario that appears on its face to be motivated more by NIMBY-ism than by disparate impacts in terms of race</w:t>
      </w:r>
      <w:r>
        <w:t xml:space="preserve">, </w:t>
      </w:r>
      <w:r w:rsidRPr="00C3365C">
        <w:t>income</w:t>
      </w:r>
      <w:r>
        <w:t>, or other dimensions of diversity</w:t>
      </w:r>
      <w:r w:rsidRPr="00C3365C">
        <w:t>.</w:t>
      </w:r>
    </w:p>
    <w:p w14:paraId="2A102B01" w14:textId="77777777" w:rsidR="0070589C" w:rsidRPr="00C3365C" w:rsidRDefault="0070589C" w:rsidP="0070589C">
      <w:pPr>
        <w:pStyle w:val="BodyText"/>
        <w:kinsoku w:val="0"/>
        <w:overflowPunct w:val="0"/>
        <w:jc w:val="both"/>
      </w:pPr>
    </w:p>
    <w:p w14:paraId="494E8D38" w14:textId="77777777" w:rsidR="0070589C" w:rsidRPr="00C3365C" w:rsidRDefault="0070589C" w:rsidP="0070589C">
      <w:pPr>
        <w:pStyle w:val="BodyText"/>
        <w:kinsoku w:val="0"/>
        <w:overflowPunct w:val="0"/>
        <w:ind w:right="540" w:firstLine="720"/>
        <w:jc w:val="both"/>
      </w:pPr>
      <w:r w:rsidRPr="00C3365C">
        <w:t>The instructor told the first group of volunteers (4 students) that they were going to be the “Decisionmakers,” and that they had complete discretion as to whether to site the Syn-Gen facility. The only substantive criteri</w:t>
      </w:r>
      <w:r>
        <w:t>on</w:t>
      </w:r>
      <w:r w:rsidRPr="00C3365C">
        <w:t xml:space="preserve"> was that they had to be completely honest in explaining how they came to their decision. The instructor told the students that they had to come to a decision by plurality vote (meaning there could be one dissenter). </w:t>
      </w:r>
      <w:r w:rsidRPr="00C3365C">
        <w:rPr>
          <w:spacing w:val="-4"/>
        </w:rPr>
        <w:t xml:space="preserve">In </w:t>
      </w:r>
      <w:r w:rsidRPr="00C3365C">
        <w:t>fact, they could simply flip a coin, but they had to be straightforward about the rationale behind their decision. When they asked what governmental body they were, the instructor told them they could be any number of decisionmakers–from federal land managers, to zoning boards deciding on a variance, to an environmental agency issuing a permit. They were not to worry about their authority or precise governmental role</w:t>
      </w:r>
      <w:r>
        <w:t>;</w:t>
      </w:r>
      <w:r w:rsidRPr="00C3365C">
        <w:t xml:space="preserve"> in this case</w:t>
      </w:r>
      <w:r>
        <w:t>,</w:t>
      </w:r>
      <w:r w:rsidRPr="00C3365C">
        <w:t xml:space="preserve"> all they needed to decide was if the facility could be located there. The instructor suggested that the Decisionmakers give each group 10 minutes to present their case. After presentations, the Decisionmakers could ask any questions they wanted and could open the floor to general discussion, time permitting. The instructor asked how the Decisionmakers were inclined to rule solely on the basis of the hypothetical. They indicated </w:t>
      </w:r>
      <w:r w:rsidRPr="00C3365C">
        <w:rPr>
          <w:spacing w:val="-4"/>
        </w:rPr>
        <w:t xml:space="preserve">they </w:t>
      </w:r>
      <w:r w:rsidRPr="00C3365C">
        <w:t>were inclined to deny the project. At this point, the instructor decided to attempt to offset this initial enviro-friendly sentiment by stacking the deck against PIST and the landowners, who were termed “Wealthy-ites.”</w:t>
      </w:r>
    </w:p>
    <w:p w14:paraId="658C7E99" w14:textId="77777777" w:rsidR="0070589C" w:rsidRPr="00C3365C" w:rsidRDefault="0070589C" w:rsidP="0070589C">
      <w:pPr>
        <w:pStyle w:val="BodyText"/>
        <w:kinsoku w:val="0"/>
        <w:overflowPunct w:val="0"/>
        <w:jc w:val="both"/>
      </w:pPr>
    </w:p>
    <w:p w14:paraId="59E1AAF1" w14:textId="77777777" w:rsidR="0070589C" w:rsidRPr="00C3365C" w:rsidRDefault="0070589C" w:rsidP="0070589C">
      <w:pPr>
        <w:pStyle w:val="BodyText"/>
        <w:kinsoku w:val="0"/>
        <w:overflowPunct w:val="0"/>
        <w:ind w:right="540" w:firstLine="720"/>
        <w:jc w:val="both"/>
      </w:pPr>
      <w:r w:rsidRPr="00C3365C">
        <w:t>The instructor then told the group of (1s) they were advocates for Syn-Gen, the facility. They could make up any additional facts to promote their facility, as long as the facts were plausible under the circumstances. They were to pick one or two primary presenters, but during general discussion, anyone of the Syn-Gen advocates could speak.</w:t>
      </w:r>
    </w:p>
    <w:p w14:paraId="4167C6F4" w14:textId="77777777" w:rsidR="0070589C" w:rsidRPr="00C3365C" w:rsidRDefault="0070589C" w:rsidP="0070589C">
      <w:pPr>
        <w:pStyle w:val="BodyText"/>
        <w:kinsoku w:val="0"/>
        <w:overflowPunct w:val="0"/>
        <w:jc w:val="both"/>
      </w:pPr>
    </w:p>
    <w:p w14:paraId="45484B98" w14:textId="77777777" w:rsidR="0070589C" w:rsidRPr="00C3365C" w:rsidRDefault="0070589C" w:rsidP="0070589C">
      <w:pPr>
        <w:pStyle w:val="BodyText"/>
        <w:kinsoku w:val="0"/>
        <w:overflowPunct w:val="0"/>
        <w:ind w:right="540" w:firstLine="720"/>
        <w:jc w:val="both"/>
      </w:pPr>
      <w:r w:rsidRPr="00C3365C">
        <w:t>The instructor then told the group of (2s) that half of them were the wealthy landowners and the other half were the env</w:t>
      </w:r>
      <w:r>
        <w:t>ironmental group “PIST” [People I</w:t>
      </w:r>
      <w:r w:rsidRPr="00C3365C">
        <w:t>nterested in Saving Trees].</w:t>
      </w:r>
      <w:r>
        <w:t xml:space="preserve"> </w:t>
      </w:r>
      <w:r w:rsidRPr="00C3365C">
        <w:t>They were coming together to discuss the possibility of a coalition. They could decide to opt</w:t>
      </w:r>
      <w:r w:rsidRPr="00C3365C">
        <w:rPr>
          <w:spacing w:val="-37"/>
        </w:rPr>
        <w:t xml:space="preserve"> </w:t>
      </w:r>
      <w:r w:rsidRPr="00C3365C">
        <w:rPr>
          <w:spacing w:val="-5"/>
        </w:rPr>
        <w:t xml:space="preserve">out </w:t>
      </w:r>
      <w:r w:rsidRPr="00C3365C">
        <w:t>of a coalition, but they had only ten minutes for both groups to present their position. As with the first group, they could make up any additional facts to bolster their case as long as the facts were</w:t>
      </w:r>
      <w:r w:rsidRPr="00C3365C">
        <w:rPr>
          <w:spacing w:val="-1"/>
        </w:rPr>
        <w:t xml:space="preserve"> </w:t>
      </w:r>
      <w:r w:rsidRPr="00C3365C">
        <w:t>plausible.</w:t>
      </w:r>
    </w:p>
    <w:p w14:paraId="0188CE9B" w14:textId="77777777" w:rsidR="0070589C" w:rsidRPr="00C3365C" w:rsidRDefault="0070589C" w:rsidP="0070589C">
      <w:pPr>
        <w:pStyle w:val="BodyText"/>
        <w:kinsoku w:val="0"/>
        <w:overflowPunct w:val="0"/>
        <w:jc w:val="both"/>
      </w:pPr>
    </w:p>
    <w:p w14:paraId="786AAF40" w14:textId="77777777" w:rsidR="0070589C" w:rsidRPr="00CC06EA" w:rsidRDefault="0070589C" w:rsidP="0070589C">
      <w:pPr>
        <w:pStyle w:val="BodyText"/>
        <w:ind w:right="540" w:firstLine="720"/>
        <w:jc w:val="both"/>
        <w:sectPr w:rsidR="0070589C" w:rsidRPr="00CC06EA" w:rsidSect="00B35D9A">
          <w:headerReference w:type="default" r:id="rId14"/>
          <w:pgSz w:w="12240" w:h="15840"/>
          <w:pgMar w:top="1440" w:right="1440" w:bottom="1440" w:left="1440" w:header="218" w:footer="1353" w:gutter="0"/>
          <w:cols w:space="720"/>
        </w:sectPr>
      </w:pPr>
      <w:r w:rsidRPr="00CC06EA">
        <w:lastRenderedPageBreak/>
        <w:t>The instructor then told the third group they were stakeholders that were not even</w:t>
      </w:r>
    </w:p>
    <w:p w14:paraId="2FD22B21" w14:textId="77777777" w:rsidR="0070589C" w:rsidRPr="00CC06EA" w:rsidRDefault="0070589C" w:rsidP="0070589C">
      <w:pPr>
        <w:pStyle w:val="BodyText"/>
        <w:ind w:right="540"/>
        <w:jc w:val="both"/>
      </w:pPr>
      <w:bookmarkStart w:id="2" w:name="Page_19"/>
      <w:bookmarkEnd w:id="2"/>
      <w:r w:rsidRPr="00CC06EA">
        <w:lastRenderedPageBreak/>
        <w:t>described in the hypothetical. They were representativ</w:t>
      </w:r>
      <w:r>
        <w:t>es of a nearby Native American t</w:t>
      </w:r>
      <w:r w:rsidRPr="00CC06EA">
        <w:t>ribe who used the proposed site for religious purposes. The instructor told the group that the proposed facility site was a place intimately involved with the creation of the world and was a very powerful and religiously important place. However, to discuss this belief or their rituals at the site with any specificity was a sacrilege and strictly forbidden. They could not disclose why the site was powerful or precisely how they used the site. The instructor also told this group that it would be a sign of respect to let everyone–especially the Decisionm</w:t>
      </w:r>
      <w:r>
        <w:t>akers–</w:t>
      </w:r>
      <w:r w:rsidRPr="00CC06EA">
        <w:t>have their complete say before the Tribe presented their concerns. In fact, according to thei</w:t>
      </w:r>
      <w:r>
        <w:t xml:space="preserve">r culture, an elder’s initially </w:t>
      </w:r>
      <w:r w:rsidRPr="00CC06EA">
        <w:t>stated “decision” in a matter is a tentative decision, and subject to reconsideration upon reflection on the concerns of all membe</w:t>
      </w:r>
      <w:r>
        <w:t>rs. Therefore, according to the</w:t>
      </w:r>
      <w:r w:rsidRPr="00CC06EA">
        <w:t xml:space="preserve"> Tribe</w:t>
      </w:r>
      <w:r>
        <w:t>’</w:t>
      </w:r>
      <w:r w:rsidRPr="00CC06EA">
        <w:t>s</w:t>
      </w:r>
      <w:r>
        <w:t xml:space="preserve"> </w:t>
      </w:r>
      <w:r w:rsidRPr="00CC06EA">
        <w:t>conception of process, they should wait until the Decisionmakers (analogous to Elders) made their decision and then the Tribe would respectfully present their concerns.</w:t>
      </w:r>
    </w:p>
    <w:p w14:paraId="2CCD6030" w14:textId="77777777" w:rsidR="0070589C" w:rsidRPr="00C3365C" w:rsidRDefault="0070589C" w:rsidP="0070589C">
      <w:pPr>
        <w:pStyle w:val="BodyText"/>
        <w:kinsoku w:val="0"/>
        <w:overflowPunct w:val="0"/>
        <w:spacing w:before="1"/>
        <w:jc w:val="both"/>
      </w:pPr>
    </w:p>
    <w:p w14:paraId="5DEFEB0D" w14:textId="77777777" w:rsidR="0070589C" w:rsidRPr="00C3365C" w:rsidRDefault="0070589C" w:rsidP="0070589C">
      <w:pPr>
        <w:pStyle w:val="BodyText"/>
        <w:kinsoku w:val="0"/>
        <w:overflowPunct w:val="0"/>
        <w:ind w:right="540" w:firstLine="720"/>
        <w:jc w:val="both"/>
      </w:pPr>
      <w:r w:rsidRPr="00C3365C">
        <w:t xml:space="preserve">The meeting began. As Syn-Gen gave their presentation, the instructor wrote their points on the board. </w:t>
      </w:r>
      <w:r w:rsidRPr="00C3365C">
        <w:rPr>
          <w:spacing w:val="-3"/>
        </w:rPr>
        <w:t xml:space="preserve">In </w:t>
      </w:r>
      <w:r w:rsidRPr="00C3365C">
        <w:t xml:space="preserve">this instance, the students came up with an interesting compensation package and did a good job of stressing that there would be no visibility impacts, and that the land use </w:t>
      </w:r>
      <w:r w:rsidRPr="00C3365C">
        <w:rPr>
          <w:spacing w:val="-5"/>
        </w:rPr>
        <w:t xml:space="preserve">for </w:t>
      </w:r>
      <w:r w:rsidRPr="00C3365C">
        <w:t>the facility would be much less intensive than that for mining,</w:t>
      </w:r>
      <w:r>
        <w:t xml:space="preserve"> logging, or even tourism. Syn-</w:t>
      </w:r>
      <w:r w:rsidRPr="00C3365C">
        <w:t>Gens’ proposal included routing any roads away from the residents and using state of the art pollution control. They also asserted that there was a naturally existing adequate buffer zone on the site. They agreed to sign binding agreements to hire workers from the local labor pool as much as possible and offered to help fund a community center. At the urging of the instructor, they stated that they had consulted with the Fish and Wildlife Service and there were no threatened or endangered species involved and their plans did not interfere with the migration patterns of any of the wildlife. There would be minimal tree-clearing</w:t>
      </w:r>
      <w:r>
        <w:t>;</w:t>
      </w:r>
      <w:r w:rsidRPr="00C3365C">
        <w:t xml:space="preserve"> in fact</w:t>
      </w:r>
      <w:r>
        <w:t>,</w:t>
      </w:r>
      <w:r w:rsidRPr="00C3365C">
        <w:t xml:space="preserve"> the facility would use an area that had been logged previously and had no old growth. An environmental impact statement previously prepared had disclosed that, because the area was in attainment, the air shed could adequately accommodate the SO2 and NOX increases</w:t>
      </w:r>
      <w:r>
        <w:t>,</w:t>
      </w:r>
      <w:r w:rsidRPr="00C3365C">
        <w:t xml:space="preserve"> and the facility would not exceed any air quality standard.</w:t>
      </w:r>
      <w:r w:rsidRPr="00C3365C">
        <w:rPr>
          <w:spacing w:val="3"/>
        </w:rPr>
        <w:t xml:space="preserve"> </w:t>
      </w:r>
      <w:r w:rsidRPr="00C3365C">
        <w:t>They also noted that their proposed use was in accordance with the “multiple use” requirement in managing federal land and that it would not interfere with hiking trails used by PIST members or the views from the homes of the</w:t>
      </w:r>
      <w:r w:rsidRPr="00C3365C">
        <w:rPr>
          <w:spacing w:val="-33"/>
        </w:rPr>
        <w:t xml:space="preserve"> </w:t>
      </w:r>
      <w:r w:rsidRPr="00C3365C">
        <w:t>Wealthy-ites.</w:t>
      </w:r>
    </w:p>
    <w:p w14:paraId="581934DA" w14:textId="77777777" w:rsidR="0070589C" w:rsidRPr="00C3365C" w:rsidRDefault="0070589C" w:rsidP="0070589C">
      <w:pPr>
        <w:pStyle w:val="BodyText"/>
        <w:kinsoku w:val="0"/>
        <w:overflowPunct w:val="0"/>
        <w:jc w:val="both"/>
      </w:pPr>
    </w:p>
    <w:p w14:paraId="5A0D74F2" w14:textId="77777777" w:rsidR="0070589C" w:rsidRPr="00C3365C" w:rsidRDefault="0070589C" w:rsidP="0070589C">
      <w:pPr>
        <w:pStyle w:val="BodyText"/>
        <w:kinsoku w:val="0"/>
        <w:overflowPunct w:val="0"/>
        <w:ind w:right="540" w:firstLine="720"/>
        <w:jc w:val="both"/>
      </w:pPr>
      <w:r w:rsidRPr="00C3365C">
        <w:t>Then PIST and the “Wealthy-ites” gave their presentations. In addition to the anticipated arguments about keeping the wilderness pristine, the PIST members also challenged the speculative benefits of synthetic fuel and the assertion that it would reduce car emissions. This was a very lively discussion with, for example, Syn-Gen advocates asking PIST members if any trees were cleared to build their homes and asking the Wealthy-ites how many of them were unemployed. The Decisionmakers intervened, saying that such a discussion was not helpful. In short, they got into it.</w:t>
      </w:r>
    </w:p>
    <w:p w14:paraId="514C5B61" w14:textId="77777777" w:rsidR="0070589C" w:rsidRPr="00C3365C" w:rsidRDefault="0070589C" w:rsidP="0070589C">
      <w:pPr>
        <w:pStyle w:val="BodyText"/>
        <w:kinsoku w:val="0"/>
        <w:overflowPunct w:val="0"/>
        <w:jc w:val="both"/>
      </w:pPr>
    </w:p>
    <w:p w14:paraId="795A6E8D" w14:textId="77777777" w:rsidR="0070589C" w:rsidRDefault="0070589C" w:rsidP="0070589C">
      <w:pPr>
        <w:pStyle w:val="BodyText"/>
        <w:kinsoku w:val="0"/>
        <w:overflowPunct w:val="0"/>
        <w:ind w:right="540" w:firstLine="720"/>
        <w:jc w:val="both"/>
      </w:pPr>
      <w:r w:rsidRPr="00C3365C">
        <w:t xml:space="preserve">After a bit, the Decisionmakers asked if anyone else had comments besides Syn-Gen, PIST and the Wealthy-ites. No one spoke up. The instructor told the Decisionmakers to take a few (but only a few) minutes and make their decision. They decided 3-1 in favor of the project. The majority cited the usual economic reasons for their decision. The dissenter was </w:t>
      </w:r>
      <w:r w:rsidRPr="00C3365C">
        <w:lastRenderedPageBreak/>
        <w:t>very concerned about disturbing a pristine area, acknowledging his strong environmental values (remember to prod them to be absolutely honest).</w:t>
      </w:r>
    </w:p>
    <w:p w14:paraId="1D502105" w14:textId="77777777" w:rsidR="0070589C" w:rsidRPr="00C3365C" w:rsidRDefault="0070589C" w:rsidP="0070589C">
      <w:pPr>
        <w:pStyle w:val="BodyText"/>
        <w:kinsoku w:val="0"/>
        <w:overflowPunct w:val="0"/>
        <w:ind w:right="540" w:firstLine="720"/>
        <w:jc w:val="both"/>
      </w:pPr>
    </w:p>
    <w:p w14:paraId="260F71CB" w14:textId="77777777" w:rsidR="0070589C" w:rsidRPr="00C3365C" w:rsidRDefault="0070589C" w:rsidP="0070589C">
      <w:pPr>
        <w:pStyle w:val="BodyText"/>
        <w:kinsoku w:val="0"/>
        <w:overflowPunct w:val="0"/>
        <w:spacing w:before="59"/>
        <w:ind w:right="540" w:firstLine="720"/>
        <w:jc w:val="both"/>
      </w:pPr>
      <w:bookmarkStart w:id="3" w:name="Page_20"/>
      <w:bookmarkEnd w:id="3"/>
      <w:r w:rsidRPr="00C3365C">
        <w:t>At this point one of the members of the Tribe stood up and briefly presented his concerns, then another member did the same, then the third member did the same. They were non-specific as instructed, noting only that the site was important to them and they had lived in the area for generations. The Decisionmakers kept prodding them for specifics and became visibly frustrated, asking the members of the Tribe why they didn’t speak up sooner (to which one merely replied, “we are speaking now and respectfully ask you to consider our concerns.”). The other stakeholders were mouth-agape. At that point, the instructor said, “FREEZE FRAME</w:t>
      </w:r>
      <w:r>
        <w:t>.</w:t>
      </w:r>
      <w:r w:rsidRPr="00C3365C">
        <w:t>”</w:t>
      </w:r>
    </w:p>
    <w:p w14:paraId="398D3C55" w14:textId="77777777" w:rsidR="0070589C" w:rsidRPr="00C3365C" w:rsidRDefault="0070589C" w:rsidP="0070589C">
      <w:pPr>
        <w:pStyle w:val="BodyText"/>
        <w:kinsoku w:val="0"/>
        <w:overflowPunct w:val="0"/>
        <w:jc w:val="both"/>
      </w:pPr>
    </w:p>
    <w:p w14:paraId="7A505C92" w14:textId="77777777" w:rsidR="0070589C" w:rsidRPr="00C3365C" w:rsidRDefault="0070589C" w:rsidP="0070589C">
      <w:pPr>
        <w:pStyle w:val="BodyText"/>
        <w:kinsoku w:val="0"/>
        <w:overflowPunct w:val="0"/>
        <w:spacing w:before="1"/>
        <w:ind w:right="540" w:firstLine="720"/>
        <w:jc w:val="both"/>
      </w:pPr>
      <w:r w:rsidRPr="00C3365C">
        <w:t>The next phase in discussion is the debriefing part of the exercise. The instructor first asked each Decisionmaker what they would be inclined to do about the situation. The dissenter said it only strengthened his position. The others said they were concerned, but would probably not change their minds because they really had no specific information that would justify a reversal, and were frankly a bit huffy about the lack of adherence to process. At this point, the instructor assumed the role of “cultural mediator” and explained why this had occurred. A</w:t>
      </w:r>
      <w:r w:rsidRPr="00C3365C">
        <w:rPr>
          <w:spacing w:val="-40"/>
        </w:rPr>
        <w:t xml:space="preserve"> </w:t>
      </w:r>
      <w:r w:rsidRPr="00C3365C">
        <w:t>debate proceeded about whether and to what extent the process should accommodate the radically different views of a “small group” of people (the size of the group was later pointed out to be an assumption). The instructor let the debate continue, but only for a short time, interjecting the “FREEZE FRAME” method of taking control, and asking the students to think about what they are contemplating at this point in the discussion. The instructor then asked: “Assuming that we decided</w:t>
      </w:r>
      <w:r>
        <w:t>—</w:t>
      </w:r>
      <w:r w:rsidRPr="00C3365C">
        <w:t>for whatever reason</w:t>
      </w:r>
      <w:r>
        <w:t>—</w:t>
      </w:r>
      <w:r w:rsidRPr="00C3365C">
        <w:t>not</w:t>
      </w:r>
      <w:r>
        <w:t xml:space="preserve"> </w:t>
      </w:r>
      <w:r w:rsidRPr="00C3365C">
        <w:t>to change the process or reconsider in light of the Tribe’s position, what would be the ‘costs’ of such a decision?” Some Syn-Gen advocates mentioned that such a decision might actually work against their interests, because the decision could result in bad publicity and increased political mobilization. Less pragmatic students noted it would be a cost to the democratic process, or that it would impair our evolution as a just society. One student with an economics background noted that it might result in an economically inefficient decision because other uses were not considered (presumably noting that members not present may “value” the resource more in an economic sense). Others disagreed, saying essentially that if process becomes too fluid, it would provide no real certainty to anyone. All good</w:t>
      </w:r>
      <w:r w:rsidRPr="00C3365C">
        <w:rPr>
          <w:spacing w:val="-28"/>
        </w:rPr>
        <w:t xml:space="preserve"> </w:t>
      </w:r>
      <w:r w:rsidRPr="00C3365C">
        <w:t>points.</w:t>
      </w:r>
    </w:p>
    <w:p w14:paraId="77FC491E" w14:textId="77777777" w:rsidR="0070589C" w:rsidRPr="00C3365C" w:rsidRDefault="0070589C" w:rsidP="0070589C">
      <w:pPr>
        <w:pStyle w:val="BodyText"/>
        <w:kinsoku w:val="0"/>
        <w:overflowPunct w:val="0"/>
        <w:jc w:val="both"/>
      </w:pPr>
    </w:p>
    <w:p w14:paraId="248DFC4F" w14:textId="77777777" w:rsidR="0070589C" w:rsidRDefault="0070589C" w:rsidP="0070589C">
      <w:pPr>
        <w:pStyle w:val="BodyText"/>
        <w:kinsoku w:val="0"/>
        <w:overflowPunct w:val="0"/>
        <w:ind w:right="540" w:firstLine="720"/>
        <w:jc w:val="both"/>
      </w:pPr>
      <w:r w:rsidRPr="00C3365C">
        <w:t>At this point, the instructor posed a different question: “Considering the process as it played itself out, was the decision based on rational economics? The students answered with a laundry list of good economic reasons for the facility approval. The instructor then posed the question: “Can you identify any ‘structural inequities’</w:t>
      </w:r>
      <w:r>
        <w:t xml:space="preserve"> – </w:t>
      </w:r>
      <w:r w:rsidRPr="00C3365C">
        <w:t>eithe</w:t>
      </w:r>
      <w:r>
        <w:t>r</w:t>
      </w:r>
      <w:r w:rsidRPr="00C3365C">
        <w:t xml:space="preserve"> along race or class lines</w:t>
      </w:r>
      <w:r>
        <w:t xml:space="preserve"> – </w:t>
      </w:r>
      <w:r w:rsidRPr="00C3365C">
        <w:t xml:space="preserve">that could have affected the decision?” This immediately brought to mind the previous discussion, cast in different terms, about how there was not a level playing field because the Native American tribe was operating under a different conception of process, and, because of their beliefs, could not present their case in a way acceptable to the dominant society. The students also noted that if the instructor had not explained the cultural difference, the impasse would have continued with the Decisionmakers eventually having hostile feelings toward the marginalized group, further resulting in racial stereotyping or confirming the types of </w:t>
      </w:r>
      <w:r w:rsidRPr="00C3365C">
        <w:lastRenderedPageBreak/>
        <w:t>suppressed racial attitudes articulated in the excerpt by Professor Charles Lawrence. This brought forth the discussion of whether cultural mediators would be a good thing</w:t>
      </w:r>
      <w:r>
        <w:t xml:space="preserve"> </w:t>
      </w:r>
      <w:r w:rsidRPr="00C3365C">
        <w:t>–</w:t>
      </w:r>
      <w:r>
        <w:t xml:space="preserve"> </w:t>
      </w:r>
      <w:r w:rsidRPr="00C3365C">
        <w:t>because they may clear up misconceptions</w:t>
      </w:r>
      <w:r>
        <w:t xml:space="preserve"> </w:t>
      </w:r>
      <w:r w:rsidRPr="00C3365C">
        <w:t>–</w:t>
      </w:r>
      <w:r>
        <w:t xml:space="preserve"> </w:t>
      </w:r>
      <w:r w:rsidRPr="00C3365C">
        <w:t>or whether there is a downside because the impacted communities are not being allowed to speak for themselves (an important environmental just</w:t>
      </w:r>
      <w:r>
        <w:t>i</w:t>
      </w:r>
      <w:r w:rsidRPr="00C3365C">
        <w:t>ce principle stated in Chapter 1)</w:t>
      </w:r>
      <w:r>
        <w:t>.</w:t>
      </w:r>
      <w:bookmarkStart w:id="4" w:name="Page_21"/>
      <w:bookmarkEnd w:id="4"/>
    </w:p>
    <w:p w14:paraId="761538A4" w14:textId="77777777" w:rsidR="0070589C" w:rsidRDefault="0070589C" w:rsidP="0070589C">
      <w:pPr>
        <w:pStyle w:val="BodyText"/>
        <w:kinsoku w:val="0"/>
        <w:overflowPunct w:val="0"/>
        <w:ind w:right="540" w:firstLine="720"/>
        <w:jc w:val="both"/>
      </w:pPr>
    </w:p>
    <w:p w14:paraId="272AD288" w14:textId="77777777" w:rsidR="0070589C" w:rsidRPr="00C3365C" w:rsidRDefault="0070589C" w:rsidP="0070589C">
      <w:pPr>
        <w:pStyle w:val="BodyText"/>
        <w:kinsoku w:val="0"/>
        <w:overflowPunct w:val="0"/>
        <w:ind w:right="540" w:firstLine="720"/>
        <w:jc w:val="both"/>
      </w:pPr>
      <w:r w:rsidRPr="00C3365C">
        <w:t>The instructor posed another question: “What about the other (low-income and unemployed) residents?” Interestingly, an almost immediate consensus emerged that the decision benefitted them. At this point</w:t>
      </w:r>
      <w:r>
        <w:t>,</w:t>
      </w:r>
      <w:r w:rsidRPr="00C3365C">
        <w:t xml:space="preserve"> the instructor asked, “How do </w:t>
      </w:r>
      <w:r w:rsidRPr="00C3365C">
        <w:rPr>
          <w:spacing w:val="-3"/>
        </w:rPr>
        <w:t xml:space="preserve">you </w:t>
      </w:r>
      <w:r w:rsidRPr="00C3365C">
        <w:t>know they would</w:t>
      </w:r>
      <w:r w:rsidRPr="00C3365C">
        <w:rPr>
          <w:spacing w:val="-12"/>
        </w:rPr>
        <w:t xml:space="preserve"> </w:t>
      </w:r>
      <w:r w:rsidRPr="00C3365C">
        <w:t>have wanted the facility? The other residents are not at the table.” Aren’t we doing</w:t>
      </w:r>
      <w:r>
        <w:t xml:space="preserve"> </w:t>
      </w:r>
      <w:r w:rsidRPr="00C3365C">
        <w:t>–</w:t>
      </w:r>
      <w:r>
        <w:t xml:space="preserve"> </w:t>
      </w:r>
      <w:r w:rsidRPr="00C3365C">
        <w:t>along class lines</w:t>
      </w:r>
      <w:r>
        <w:t xml:space="preserve"> </w:t>
      </w:r>
      <w:r w:rsidRPr="00C3365C">
        <w:t>–</w:t>
      </w:r>
      <w:r>
        <w:t xml:space="preserve"> </w:t>
      </w:r>
      <w:r w:rsidRPr="00C3365C">
        <w:t>exactly what Professor Lawrence cautions us about doing along racial lines? We have made a categorical assumption that these folks would uniformly choose jobs over the environment and how do we know that? Isn’t there a structural inequity present by the mere fact that they are not here to speak for themselves?” The discussion continued, with the final</w:t>
      </w:r>
      <w:r w:rsidRPr="00C3365C">
        <w:rPr>
          <w:spacing w:val="-31"/>
        </w:rPr>
        <w:t xml:space="preserve"> </w:t>
      </w:r>
      <w:r w:rsidRPr="00C3365C">
        <w:t>question being: “Should the decision stand as an economically rational one, or is the process so corrupted by structural inequities that we cannot say for certain whether the decision is a good one?” Again, there was no real consensus, but it did drive home the point that well-meaning reasonable decisionmakers are often not aware, of either the ripp</w:t>
      </w:r>
      <w:r>
        <w:t xml:space="preserve">le-effects of their decisions, </w:t>
      </w:r>
      <w:r w:rsidRPr="00C3365C">
        <w:t xml:space="preserve">or the myriad </w:t>
      </w:r>
      <w:r>
        <w:t xml:space="preserve">of </w:t>
      </w:r>
      <w:r w:rsidRPr="00C3365C">
        <w:t>structural problems that might infect the</w:t>
      </w:r>
      <w:r w:rsidRPr="00C3365C">
        <w:rPr>
          <w:spacing w:val="2"/>
        </w:rPr>
        <w:t xml:space="preserve"> </w:t>
      </w:r>
      <w:r w:rsidRPr="00C3365C">
        <w:t>process.</w:t>
      </w:r>
    </w:p>
    <w:p w14:paraId="30DB7510" w14:textId="77777777" w:rsidR="0070589C" w:rsidRPr="00C3365C" w:rsidRDefault="0070589C" w:rsidP="0070589C">
      <w:pPr>
        <w:pStyle w:val="BodyText"/>
        <w:kinsoku w:val="0"/>
        <w:overflowPunct w:val="0"/>
        <w:spacing w:before="1"/>
        <w:jc w:val="both"/>
      </w:pPr>
    </w:p>
    <w:p w14:paraId="6E26AF7E" w14:textId="77777777" w:rsidR="0070589C" w:rsidRPr="00C3365C" w:rsidRDefault="0070589C" w:rsidP="0070589C">
      <w:pPr>
        <w:pStyle w:val="Heading1"/>
        <w:kinsoku w:val="0"/>
        <w:overflowPunct w:val="0"/>
        <w:ind w:left="0"/>
        <w:jc w:val="both"/>
      </w:pPr>
      <w:r w:rsidRPr="00C3365C">
        <w:t>D</w:t>
      </w:r>
      <w:r>
        <w:t>iscussion Points and</w:t>
      </w:r>
      <w:r w:rsidRPr="00C3365C">
        <w:t xml:space="preserve"> </w:t>
      </w:r>
      <w:r>
        <w:t>Selected Questions from the Text</w:t>
      </w:r>
    </w:p>
    <w:p w14:paraId="5D2755F4" w14:textId="77777777" w:rsidR="0070589C" w:rsidRPr="00C3365C" w:rsidRDefault="0070589C" w:rsidP="0070589C">
      <w:pPr>
        <w:pStyle w:val="BodyText"/>
        <w:kinsoku w:val="0"/>
        <w:overflowPunct w:val="0"/>
        <w:jc w:val="both"/>
        <w:rPr>
          <w:b/>
          <w:bCs/>
        </w:rPr>
      </w:pPr>
    </w:p>
    <w:p w14:paraId="4919621C" w14:textId="77777777" w:rsidR="0070589C" w:rsidRPr="00C13864" w:rsidRDefault="0070589C" w:rsidP="00307558">
      <w:pPr>
        <w:pStyle w:val="ListParagraph"/>
        <w:numPr>
          <w:ilvl w:val="0"/>
          <w:numId w:val="32"/>
        </w:numPr>
        <w:tabs>
          <w:tab w:val="left" w:pos="563"/>
        </w:tabs>
        <w:kinsoku w:val="0"/>
        <w:overflowPunct w:val="0"/>
        <w:rPr>
          <w:b/>
          <w:bCs/>
        </w:rPr>
      </w:pPr>
      <w:r w:rsidRPr="00C13864">
        <w:rPr>
          <w:b/>
          <w:bCs/>
        </w:rPr>
        <w:t xml:space="preserve">Land Use Practices </w:t>
      </w:r>
    </w:p>
    <w:p w14:paraId="6DD5984C" w14:textId="77777777" w:rsidR="0070589C" w:rsidRPr="00C3365C" w:rsidRDefault="0070589C" w:rsidP="0070589C">
      <w:pPr>
        <w:pStyle w:val="BodyText"/>
        <w:kinsoku w:val="0"/>
        <w:overflowPunct w:val="0"/>
      </w:pPr>
    </w:p>
    <w:p w14:paraId="36408A6E" w14:textId="77777777" w:rsidR="0070589C" w:rsidRDefault="0070589C" w:rsidP="0070589C">
      <w:pPr>
        <w:kinsoku w:val="0"/>
        <w:overflowPunct w:val="0"/>
        <w:jc w:val="center"/>
        <w:rPr>
          <w:b/>
          <w:bCs/>
          <w:i/>
          <w:iCs/>
          <w:sz w:val="28"/>
          <w:szCs w:val="28"/>
        </w:rPr>
      </w:pPr>
      <w:r w:rsidRPr="00403DCD">
        <w:rPr>
          <w:b/>
          <w:bCs/>
          <w:i/>
          <w:iCs/>
          <w:sz w:val="28"/>
          <w:szCs w:val="28"/>
        </w:rPr>
        <w:t>Notes and Questions</w:t>
      </w:r>
    </w:p>
    <w:p w14:paraId="650B6A50" w14:textId="77777777" w:rsidR="0070589C" w:rsidRPr="00403DCD" w:rsidRDefault="0070589C" w:rsidP="0070589C">
      <w:pPr>
        <w:kinsoku w:val="0"/>
        <w:overflowPunct w:val="0"/>
        <w:ind w:firstLine="720"/>
        <w:jc w:val="center"/>
        <w:rPr>
          <w:b/>
          <w:bCs/>
          <w:i/>
          <w:iCs/>
          <w:sz w:val="28"/>
          <w:szCs w:val="28"/>
        </w:rPr>
      </w:pPr>
    </w:p>
    <w:p w14:paraId="0095BB13" w14:textId="2C64A652" w:rsidR="1A23D4C7" w:rsidRDefault="1A23D4C7" w:rsidP="1A23D4C7">
      <w:pPr>
        <w:pStyle w:val="ListParagraph"/>
        <w:numPr>
          <w:ilvl w:val="0"/>
          <w:numId w:val="3"/>
        </w:numPr>
        <w:ind w:right="540"/>
        <w:jc w:val="both"/>
      </w:pPr>
      <w:r w:rsidRPr="1A23D4C7">
        <w:rPr>
          <w:b/>
          <w:bCs/>
        </w:rPr>
        <w:t xml:space="preserve">Causal Chains. </w:t>
      </w:r>
      <w:r w:rsidRPr="1A23D4C7">
        <w:t xml:space="preserve">Courts should resist treating natural disasters as superseding </w:t>
      </w:r>
    </w:p>
    <w:p w14:paraId="31BC2327" w14:textId="6A7054F5" w:rsidR="1A23D4C7" w:rsidRDefault="1A23D4C7" w:rsidP="1A23D4C7">
      <w:pPr>
        <w:ind w:right="540"/>
        <w:jc w:val="both"/>
        <w:rPr>
          <w:b/>
          <w:bCs/>
          <w:sz w:val="24"/>
          <w:szCs w:val="24"/>
        </w:rPr>
      </w:pPr>
      <w:r w:rsidRPr="1A23D4C7">
        <w:t xml:space="preserve">causes that automatically sever governmental liability when discriminatory policies created conditions for harm. The superseding cause doctrine applies when intervening events are unforeseeable and independent of the defendant's conduct, but neither condition holds when discriminatory zoning historically confined communities of color to floodplains. A hurricane striking a coastal region is statistically certain over time, and the discriminatory policy positioned vulnerable populations precisely where that predictable harm would fall. The same logic applies to heat waves devastating redlined neighborhoods that lack tree canopy and droughts amplifying the effects of inequitable water rights allocations on tribal lands, in each instance, the natural stressor is foreseeable, but its discriminatory distribution reflects policy choices. Foreseeability should therefore operate as an aggravating rather than exculpating factor: decision-makers who understood the environmental vulnerabilities of areas to which they confined marginalized communities cannot later claim that natural events broke the causal chain. The hurricane did not cause the harm independently; it was the mechanism through which discriminatory placement delivered its foreseeable consequences. </w:t>
      </w:r>
    </w:p>
    <w:p w14:paraId="2AED40B9" w14:textId="77777777" w:rsidR="0070589C" w:rsidRPr="00C13864" w:rsidRDefault="0070589C" w:rsidP="0070589C">
      <w:pPr>
        <w:kinsoku w:val="0"/>
        <w:overflowPunct w:val="0"/>
        <w:ind w:firstLine="720"/>
        <w:jc w:val="both"/>
        <w:rPr>
          <w:rFonts w:eastAsiaTheme="minorHAnsi"/>
          <w:sz w:val="24"/>
          <w:szCs w:val="24"/>
        </w:rPr>
      </w:pPr>
    </w:p>
    <w:p w14:paraId="292B4B0D" w14:textId="16CB66D4" w:rsidR="1A23D4C7" w:rsidRDefault="1A23D4C7" w:rsidP="1A23D4C7">
      <w:pPr>
        <w:ind w:right="540" w:firstLine="720"/>
        <w:jc w:val="both"/>
        <w:rPr>
          <w:sz w:val="24"/>
          <w:szCs w:val="24"/>
        </w:rPr>
      </w:pPr>
      <w:r w:rsidRPr="1A23D4C7">
        <w:rPr>
          <w:sz w:val="24"/>
          <w:szCs w:val="24"/>
        </w:rPr>
        <w:t xml:space="preserve">2. </w:t>
      </w:r>
      <w:r w:rsidRPr="1A23D4C7">
        <w:rPr>
          <w:b/>
          <w:bCs/>
          <w:sz w:val="24"/>
          <w:szCs w:val="24"/>
        </w:rPr>
        <w:t xml:space="preserve">Multiple Causes.  </w:t>
      </w:r>
      <w:r w:rsidRPr="1A23D4C7">
        <w:rPr>
          <w:rFonts w:eastAsia="Times New Roman"/>
          <w:sz w:val="24"/>
          <w:szCs w:val="24"/>
        </w:rPr>
        <w:t xml:space="preserve">Requiring plaintiffs to prove discriminatory intent behind each individual permitting, zoning, or enforcement decision misunderstands how systemic discrimination operates through the accumulation of facially neutral choices rather than discrete acts of animus. Courts should permit causation to be established by demonstrating that interconnected policies cumulatively and predictably disadvantaged communities of </w:t>
      </w:r>
      <w:r w:rsidRPr="1A23D4C7">
        <w:rPr>
          <w:rFonts w:eastAsia="Times New Roman"/>
          <w:sz w:val="24"/>
          <w:szCs w:val="24"/>
        </w:rPr>
        <w:lastRenderedPageBreak/>
        <w:t>color, even where no single decision was independently sufficient or provably motivated by bias. Statistical evidence showing that facilities in minority communities receive fewer inspections and smaller penalties, or that infrastructure funding bypassed communities of color through facially neutral criteria, can establish race as a causal factor without requiring a smoking gun at each decisional node. The evidentiary standard should ask whether documented patterns and demographic correlations, absent legitimate non-discriminatory explanations, support a reasonable inference of racial causation in the aggregate, recognizing that demanding proof of intent at every link in the chain immunizes precisely those forms of structural discrimination that operate through bureaucratic routine rather than conscious malice.</w:t>
      </w:r>
    </w:p>
    <w:p w14:paraId="5D561B6D" w14:textId="7EB8F0F7" w:rsidR="1A23D4C7" w:rsidRDefault="1A23D4C7" w:rsidP="1A23D4C7">
      <w:pPr>
        <w:ind w:right="540" w:firstLine="720"/>
        <w:jc w:val="both"/>
        <w:rPr>
          <w:sz w:val="24"/>
          <w:szCs w:val="24"/>
        </w:rPr>
      </w:pPr>
      <w:r w:rsidRPr="1A23D4C7">
        <w:rPr>
          <w:sz w:val="24"/>
          <w:szCs w:val="24"/>
        </w:rPr>
        <w:t xml:space="preserve">3. </w:t>
      </w:r>
      <w:r w:rsidRPr="1A23D4C7">
        <w:rPr>
          <w:b/>
          <w:bCs/>
          <w:sz w:val="24"/>
          <w:szCs w:val="24"/>
        </w:rPr>
        <w:t xml:space="preserve">Temporal Concerns. </w:t>
      </w:r>
      <w:r w:rsidRPr="1A23D4C7">
        <w:rPr>
          <w:rFonts w:eastAsia="Times New Roman"/>
          <w:sz w:val="24"/>
          <w:szCs w:val="24"/>
        </w:rPr>
        <w:t xml:space="preserve">Legal causation doctrine must accommodate the reality that environmental harms unfold across decades without the passage of time diminishing the causal connection. When a Superfund site remains unremediated in a low-income community of color while comparable sites elsewhere receive prompt cleanup, each deferred decision renews rather than breaks the original discriminatory pattern. Courts should distinguish between temporal gaps where independent forces genuinely redirect harm along new pathways and those that merely reflect the slow-motion unfolding of discriminatory choices whose consequences were always foreseeable. For claims linking current health disparities to historical pollution, epidemiological evidence of latency periods can bridge temporal gaps where it demonstrates that past exposures produced present harms through recognized biological mechanisms. </w:t>
      </w:r>
    </w:p>
    <w:p w14:paraId="02EC59A1" w14:textId="582BE681" w:rsidR="1A23D4C7" w:rsidRDefault="1A23D4C7" w:rsidP="1A23D4C7">
      <w:pPr>
        <w:ind w:right="540" w:firstLine="720"/>
        <w:jc w:val="both"/>
        <w:rPr>
          <w:sz w:val="24"/>
          <w:szCs w:val="24"/>
        </w:rPr>
      </w:pPr>
      <w:r w:rsidRPr="1A23D4C7">
        <w:rPr>
          <w:rFonts w:eastAsia="Times New Roman"/>
          <w:sz w:val="24"/>
          <w:szCs w:val="24"/>
        </w:rPr>
        <w:t>Climate vulnerability cases present the strongest argument for persistent causation: discriminatory housing policies created spatial patterns of vulnerability that interact predictably with contemporary climate stressors, making current disproportionate impacts the foreseeable legacy of historical discrimination rather than temporally remote coincidences. Where contamination persists, where spatial vulnerability endures, where the discriminatory structure continues channeling harm toward the same communities, causation remains intact regardless of when the original decisions occurred.</w:t>
      </w:r>
    </w:p>
    <w:p w14:paraId="78CF7E42" w14:textId="77777777" w:rsidR="0070589C" w:rsidRPr="00401FF2" w:rsidRDefault="0070589C" w:rsidP="0070589C">
      <w:pPr>
        <w:ind w:right="540"/>
        <w:jc w:val="both"/>
        <w:rPr>
          <w:rFonts w:eastAsiaTheme="minorHAnsi"/>
        </w:rPr>
      </w:pPr>
      <w:r w:rsidRPr="00C3365C">
        <w:rPr>
          <w:rFonts w:eastAsiaTheme="minorHAnsi"/>
        </w:rPr>
        <w:t xml:space="preserve"> </w:t>
      </w:r>
      <w:bookmarkStart w:id="5" w:name="Page_22"/>
      <w:bookmarkEnd w:id="5"/>
    </w:p>
    <w:p w14:paraId="4B2BAF46" w14:textId="77777777" w:rsidR="0070589C" w:rsidRPr="00C3365C" w:rsidRDefault="0070589C" w:rsidP="0070589C">
      <w:pPr>
        <w:pStyle w:val="Heading1"/>
        <w:numPr>
          <w:ilvl w:val="0"/>
          <w:numId w:val="7"/>
        </w:numPr>
        <w:tabs>
          <w:tab w:val="left" w:pos="573"/>
        </w:tabs>
        <w:kinsoku w:val="0"/>
        <w:overflowPunct w:val="0"/>
        <w:spacing w:before="1"/>
        <w:ind w:left="572" w:hanging="412"/>
        <w:jc w:val="both"/>
      </w:pPr>
      <w:r w:rsidRPr="00C3365C">
        <w:t>T</w:t>
      </w:r>
      <w:r>
        <w:t>he</w:t>
      </w:r>
      <w:r w:rsidRPr="00C3365C">
        <w:t xml:space="preserve"> M</w:t>
      </w:r>
      <w:r>
        <w:t>arket</w:t>
      </w:r>
    </w:p>
    <w:p w14:paraId="65EFEFA9" w14:textId="77777777" w:rsidR="0070589C" w:rsidRPr="00C3365C" w:rsidRDefault="0070589C" w:rsidP="0070589C">
      <w:pPr>
        <w:pStyle w:val="BodyText"/>
        <w:kinsoku w:val="0"/>
        <w:overflowPunct w:val="0"/>
        <w:spacing w:before="11"/>
        <w:jc w:val="both"/>
        <w:rPr>
          <w:b/>
          <w:bCs/>
        </w:rPr>
      </w:pPr>
    </w:p>
    <w:p w14:paraId="40CA216D" w14:textId="77777777" w:rsidR="0070589C" w:rsidRPr="00C13864" w:rsidRDefault="0070589C" w:rsidP="0070589C">
      <w:pPr>
        <w:kinsoku w:val="0"/>
        <w:overflowPunct w:val="0"/>
        <w:ind w:right="540" w:firstLine="572"/>
        <w:jc w:val="both"/>
        <w:rPr>
          <w:sz w:val="24"/>
          <w:szCs w:val="24"/>
        </w:rPr>
      </w:pPr>
      <w:r w:rsidRPr="00C13864">
        <w:rPr>
          <w:sz w:val="24"/>
          <w:szCs w:val="24"/>
        </w:rPr>
        <w:t xml:space="preserve">The following statement before Congress by Kent Jeffreys, Director of Environmental Studies for the Competitive Enterprise Institute, can be used to stimulate discussion </w:t>
      </w:r>
      <w:r w:rsidRPr="00C13864">
        <w:rPr>
          <w:spacing w:val="-9"/>
          <w:sz w:val="24"/>
          <w:szCs w:val="24"/>
        </w:rPr>
        <w:t xml:space="preserve">on </w:t>
      </w:r>
      <w:r w:rsidRPr="00C13864">
        <w:rPr>
          <w:sz w:val="24"/>
          <w:szCs w:val="24"/>
        </w:rPr>
        <w:t>this topic:</w:t>
      </w:r>
    </w:p>
    <w:p w14:paraId="2571362E" w14:textId="77777777" w:rsidR="0070589C" w:rsidRPr="00C3365C" w:rsidRDefault="0070589C" w:rsidP="0070589C">
      <w:pPr>
        <w:pStyle w:val="BodyText"/>
        <w:kinsoku w:val="0"/>
        <w:overflowPunct w:val="0"/>
        <w:ind w:hanging="880"/>
        <w:jc w:val="both"/>
      </w:pPr>
    </w:p>
    <w:p w14:paraId="0338458D" w14:textId="77777777" w:rsidR="0070589C" w:rsidRPr="00C3365C" w:rsidRDefault="0070589C" w:rsidP="0070589C">
      <w:pPr>
        <w:pStyle w:val="BodyText"/>
        <w:kinsoku w:val="0"/>
        <w:overflowPunct w:val="0"/>
        <w:ind w:left="720" w:right="720"/>
        <w:jc w:val="both"/>
      </w:pPr>
      <w:r w:rsidRPr="00C3365C">
        <w:t>“Poor people and minorities do not attract polluters. Low-cost land does, and for the same reasons that it attracts poor people. In many industrial regions</w:t>
      </w:r>
      <w:r>
        <w:t xml:space="preserve"> </w:t>
      </w:r>
      <w:r w:rsidRPr="00C3365C">
        <w:t>...</w:t>
      </w:r>
      <w:r>
        <w:t xml:space="preserve"> </w:t>
      </w:r>
      <w:r w:rsidRPr="00C3365C">
        <w:t>minorities were given their first access to the American Dream. Employers motivated by the capitalist urge to make a profit</w:t>
      </w:r>
      <w:r>
        <w:t xml:space="preserve"> </w:t>
      </w:r>
      <w:r w:rsidRPr="00C3365C">
        <w:t>... hired the best workers they could find at the lowest rate they could pay...</w:t>
      </w:r>
      <w:r>
        <w:t>.</w:t>
      </w:r>
      <w:r w:rsidRPr="00C3365C">
        <w:t xml:space="preserve"> In addition, workers preferred to live close to their place of employment, for obvious reasons. Thus, they moved to the g</w:t>
      </w:r>
      <w:r>
        <w:t>e</w:t>
      </w:r>
      <w:r w:rsidRPr="00C3365C">
        <w:t xml:space="preserve">neral vicinity of pollution sources. This resulted in one of the largest internal migrations in American history as rural-born African Americans moved to industrial urban areas. Even with pollution and the low wage jobs, their lives were greatly improved. How ironic that the very economic forces that eventually spawned the civil rights </w:t>
      </w:r>
      <w:r w:rsidRPr="00C3365C">
        <w:lastRenderedPageBreak/>
        <w:t>movement would be condemned as environmental racism today." Testimony of Kent Jeffreys, Director of Environmental Studies, Competitive Enterprise Institute, House Comm. on Jud., Subcomm. on Civil and Constitutional Rights (March 3, 1993).</w:t>
      </w:r>
    </w:p>
    <w:p w14:paraId="20D0E69A" w14:textId="77777777" w:rsidR="0070589C" w:rsidRPr="00C3365C" w:rsidRDefault="0070589C" w:rsidP="0070589C">
      <w:pPr>
        <w:pStyle w:val="BodyText"/>
        <w:kinsoku w:val="0"/>
        <w:overflowPunct w:val="0"/>
        <w:jc w:val="both"/>
      </w:pPr>
    </w:p>
    <w:p w14:paraId="092B5427" w14:textId="77777777" w:rsidR="0070589C" w:rsidRDefault="0070589C" w:rsidP="0070589C">
      <w:pPr>
        <w:pStyle w:val="BodyText"/>
        <w:kinsoku w:val="0"/>
        <w:overflowPunct w:val="0"/>
        <w:ind w:right="540"/>
        <w:jc w:val="both"/>
      </w:pPr>
      <w:r w:rsidRPr="00C3365C">
        <w:t>Alternatively, another way to spark discussion might be to ask the students to comb through</w:t>
      </w:r>
      <w:r w:rsidRPr="00C3365C">
        <w:rPr>
          <w:spacing w:val="-1"/>
        </w:rPr>
        <w:t xml:space="preserve"> </w:t>
      </w:r>
      <w:r w:rsidRPr="00C3365C">
        <w:t>the</w:t>
      </w:r>
      <w:r w:rsidRPr="00C3365C">
        <w:rPr>
          <w:spacing w:val="-3"/>
        </w:rPr>
        <w:t xml:space="preserve"> </w:t>
      </w:r>
      <w:r w:rsidRPr="00C3365C">
        <w:t>readings and</w:t>
      </w:r>
      <w:r w:rsidRPr="00C3365C">
        <w:rPr>
          <w:spacing w:val="-4"/>
        </w:rPr>
        <w:t xml:space="preserve"> </w:t>
      </w:r>
      <w:r w:rsidRPr="00C3365C">
        <w:t>identify</w:t>
      </w:r>
      <w:r w:rsidRPr="00C3365C">
        <w:rPr>
          <w:spacing w:val="-11"/>
        </w:rPr>
        <w:t xml:space="preserve"> </w:t>
      </w:r>
      <w:r w:rsidRPr="00C3365C">
        <w:t>all of</w:t>
      </w:r>
      <w:r w:rsidRPr="00C3365C">
        <w:rPr>
          <w:spacing w:val="-1"/>
        </w:rPr>
        <w:t xml:space="preserve"> </w:t>
      </w:r>
      <w:r w:rsidRPr="00C3365C">
        <w:t>the</w:t>
      </w:r>
      <w:r w:rsidRPr="00C3365C">
        <w:rPr>
          <w:spacing w:val="-5"/>
        </w:rPr>
        <w:t xml:space="preserve"> </w:t>
      </w:r>
      <w:r w:rsidRPr="00C3365C">
        <w:t>mechanisms by</w:t>
      </w:r>
      <w:r w:rsidRPr="00C3365C">
        <w:rPr>
          <w:spacing w:val="-9"/>
        </w:rPr>
        <w:t xml:space="preserve"> </w:t>
      </w:r>
      <w:r w:rsidRPr="00C3365C">
        <w:t>which,</w:t>
      </w:r>
      <w:r w:rsidRPr="00C3365C">
        <w:rPr>
          <w:spacing w:val="-4"/>
        </w:rPr>
        <w:t xml:space="preserve"> </w:t>
      </w:r>
      <w:r w:rsidRPr="00C3365C">
        <w:t>intentionally</w:t>
      </w:r>
      <w:r w:rsidRPr="00C3365C">
        <w:rPr>
          <w:spacing w:val="-10"/>
        </w:rPr>
        <w:t xml:space="preserve"> </w:t>
      </w:r>
      <w:r w:rsidRPr="00C3365C">
        <w:t>or</w:t>
      </w:r>
      <w:r w:rsidRPr="00C3365C">
        <w:rPr>
          <w:spacing w:val="-4"/>
        </w:rPr>
        <w:t xml:space="preserve"> </w:t>
      </w:r>
      <w:r w:rsidRPr="00C3365C">
        <w:t>not, disparities come to pass. These are in essence the mechanisms of what some call structural or institutional</w:t>
      </w:r>
      <w:r w:rsidRPr="00C3365C">
        <w:rPr>
          <w:spacing w:val="-1"/>
        </w:rPr>
        <w:t xml:space="preserve"> </w:t>
      </w:r>
      <w:r w:rsidRPr="00C3365C">
        <w:t>racism.</w:t>
      </w:r>
      <w:r>
        <w:t xml:space="preserve"> You can refer to Chapter 1’s discussion of social justice.</w:t>
      </w:r>
    </w:p>
    <w:p w14:paraId="5E481B1B" w14:textId="77777777" w:rsidR="0070589C" w:rsidRDefault="0070589C" w:rsidP="0070589C">
      <w:pPr>
        <w:pStyle w:val="BodyText"/>
        <w:kinsoku w:val="0"/>
        <w:overflowPunct w:val="0"/>
        <w:ind w:right="540"/>
        <w:jc w:val="both"/>
      </w:pPr>
    </w:p>
    <w:p w14:paraId="0F44CAD4" w14:textId="77777777" w:rsidR="0070589C" w:rsidRPr="00C3365C" w:rsidRDefault="0070589C" w:rsidP="0070589C">
      <w:pPr>
        <w:pStyle w:val="BodyText"/>
        <w:kinsoku w:val="0"/>
        <w:overflowPunct w:val="0"/>
        <w:ind w:right="540" w:firstLine="720"/>
        <w:jc w:val="both"/>
      </w:pPr>
      <w:r>
        <w:t>A classroom activity that might benefit visual thinkers and learners (and also help with paper brainstorming in writing seminars) is some sort of mind mapping exercise that leads to a visual web of marginalization. The instructor could assign the starting word (e.g. siting, zoning) and give students five minutes to map out interconnecting environmental justice issues and their relation to other social justice issues.</w:t>
      </w:r>
    </w:p>
    <w:p w14:paraId="5D25EFB2" w14:textId="77777777" w:rsidR="0070589C" w:rsidRPr="00C3365C" w:rsidRDefault="0070589C" w:rsidP="0070589C">
      <w:pPr>
        <w:tabs>
          <w:tab w:val="left" w:pos="880"/>
        </w:tabs>
        <w:kinsoku w:val="0"/>
        <w:overflowPunct w:val="0"/>
        <w:ind w:hanging="880"/>
        <w:jc w:val="both"/>
      </w:pPr>
    </w:p>
    <w:p w14:paraId="626B9CD5" w14:textId="77777777" w:rsidR="0070589C" w:rsidRPr="00C578E8" w:rsidRDefault="0070589C" w:rsidP="0070589C">
      <w:pPr>
        <w:pStyle w:val="BodyText"/>
        <w:kinsoku w:val="0"/>
        <w:overflowPunct w:val="0"/>
        <w:ind w:left="160"/>
        <w:jc w:val="center"/>
        <w:rPr>
          <w:b/>
          <w:bCs/>
          <w:i/>
          <w:iCs/>
          <w:sz w:val="28"/>
          <w:szCs w:val="28"/>
        </w:rPr>
      </w:pPr>
      <w:r w:rsidRPr="00C578E8">
        <w:rPr>
          <w:b/>
          <w:bCs/>
          <w:i/>
          <w:iCs/>
          <w:sz w:val="28"/>
          <w:szCs w:val="28"/>
        </w:rPr>
        <w:t>Notes and Questions</w:t>
      </w:r>
    </w:p>
    <w:p w14:paraId="556C8FF0" w14:textId="77777777" w:rsidR="0070589C" w:rsidRPr="0014493C" w:rsidRDefault="0070589C" w:rsidP="0070589C">
      <w:pPr>
        <w:pStyle w:val="BodyText"/>
        <w:kinsoku w:val="0"/>
        <w:overflowPunct w:val="0"/>
        <w:ind w:left="160"/>
        <w:jc w:val="both"/>
        <w:rPr>
          <w:b/>
          <w:bCs/>
        </w:rPr>
      </w:pPr>
    </w:p>
    <w:p w14:paraId="799FDDA2" w14:textId="3E8348D8" w:rsidR="0070589C" w:rsidRPr="00C13864" w:rsidRDefault="1A23D4C7" w:rsidP="1A23D4C7">
      <w:pPr>
        <w:ind w:right="540" w:firstLine="720"/>
        <w:jc w:val="both"/>
        <w:rPr>
          <w:sz w:val="24"/>
          <w:szCs w:val="24"/>
        </w:rPr>
      </w:pPr>
      <w:r w:rsidRPr="1A23D4C7">
        <w:rPr>
          <w:b/>
          <w:bCs/>
          <w:sz w:val="24"/>
          <w:szCs w:val="24"/>
        </w:rPr>
        <w:t xml:space="preserve">1. Hurricane Maria and Theories of Causation. </w:t>
      </w:r>
      <w:r w:rsidRPr="1A23D4C7">
        <w:rPr>
          <w:rFonts w:eastAsia="Times New Roman"/>
          <w:sz w:val="24"/>
          <w:szCs w:val="24"/>
        </w:rPr>
        <w:t>The most compelling causal explanation for post-Maria inequities is colonial discrimination intersecting with historical land-use practices, which created preconditions that market forces then exploited. Puerto Rico’s territorial status meant federal disaster response operated with less political accountability, while decades of infrastructure underinvestment had already weakened resilience before the storm. Climate gentrification differs from traditional gentrification because displacement is triggered not by neighborhood improvement but by the sudden revaluation of land based on climate risk, higher-elevation areas become premium commodities precisely because disasters revealed the vulnerability of lower-lying neighborhoods where communities of color historically resided. This dynamic transforms disasters into wealth transfer mechanisms, as those with capital acquire safer land while displaced residents lacking resources are permanently pushed out. Policy interventions might include community land trusts, right-of-return guarantees tied to reconstruction funding, and anti-speculation measures freezing property sales in declared disaster areas.</w:t>
      </w:r>
    </w:p>
    <w:p w14:paraId="10A70FED" w14:textId="5EEA1A06" w:rsidR="0070589C" w:rsidRPr="00C13864" w:rsidRDefault="0070589C" w:rsidP="1A23D4C7">
      <w:pPr>
        <w:ind w:right="540" w:firstLine="720"/>
        <w:jc w:val="both"/>
        <w:rPr>
          <w:b/>
          <w:bCs/>
          <w:sz w:val="24"/>
          <w:szCs w:val="24"/>
        </w:rPr>
      </w:pPr>
    </w:p>
    <w:p w14:paraId="5CA4C6F7" w14:textId="20FFB85C" w:rsidR="0070589C" w:rsidRPr="00C13864" w:rsidRDefault="1A23D4C7" w:rsidP="1A23D4C7">
      <w:pPr>
        <w:pStyle w:val="ListParagraph"/>
        <w:numPr>
          <w:ilvl w:val="0"/>
          <w:numId w:val="3"/>
        </w:numPr>
        <w:ind w:right="540"/>
        <w:jc w:val="both"/>
      </w:pPr>
      <w:r w:rsidRPr="1A23D4C7">
        <w:rPr>
          <w:b/>
          <w:bCs/>
        </w:rPr>
        <w:t xml:space="preserve">The Built Environment. </w:t>
      </w:r>
      <w:r w:rsidRPr="1A23D4C7">
        <w:t xml:space="preserve">Professor Schindler reveals how physical design </w:t>
      </w:r>
    </w:p>
    <w:p w14:paraId="4853292D" w14:textId="7A3DA54F" w:rsidR="0070589C" w:rsidRPr="00C13864" w:rsidRDefault="1A23D4C7" w:rsidP="1A23D4C7">
      <w:pPr>
        <w:ind w:right="540"/>
        <w:jc w:val="both"/>
        <w:rPr>
          <w:b/>
          <w:bCs/>
          <w:sz w:val="24"/>
          <w:szCs w:val="24"/>
        </w:rPr>
      </w:pPr>
      <w:r w:rsidRPr="1A23D4C7">
        <w:t>embeds exclusion into infrastructure in ways that appear neutral but produce discriminatory outcomes without articulating discriminatory purpose. Highway placements bisecting minority neighborhoods, bridge underpasses too low for public buses to reach wealthy enclaves, absent sidewalks connecting low-income areas to employment, and strategic placement of amenities away from communities of color all function as architectural exclusion, shaping access to resources and environmental benefits without explicit policy. These design choices heighten environmental justice disparities by concentrating pollution, limiting green space access, and physically isolating communities from opportunity in ways harder to challenge legally than explicit discrimination because courts have been reluctant to recognize infrastructure design as state action subject to equal protection review.</w:t>
      </w:r>
    </w:p>
    <w:p w14:paraId="5AD32EC7" w14:textId="60A3A585" w:rsidR="0070589C" w:rsidRPr="00C13864" w:rsidRDefault="1A23D4C7" w:rsidP="1A23D4C7">
      <w:pPr>
        <w:pStyle w:val="ListParagraph"/>
        <w:numPr>
          <w:ilvl w:val="0"/>
          <w:numId w:val="3"/>
        </w:numPr>
        <w:ind w:right="540"/>
        <w:jc w:val="both"/>
      </w:pPr>
      <w:r w:rsidRPr="1A23D4C7">
        <w:rPr>
          <w:b/>
          <w:bCs/>
        </w:rPr>
        <w:t xml:space="preserve">Gentrification. </w:t>
      </w:r>
      <w:r w:rsidRPr="1A23D4C7">
        <w:t xml:space="preserve">Gentrification operates as environmental injustice because it </w:t>
      </w:r>
    </w:p>
    <w:p w14:paraId="7384510C" w14:textId="1D78EC37" w:rsidR="0070589C" w:rsidRPr="00C13864" w:rsidRDefault="1A23D4C7" w:rsidP="1A23D4C7">
      <w:pPr>
        <w:ind w:right="540"/>
        <w:jc w:val="both"/>
        <w:rPr>
          <w:b/>
          <w:bCs/>
          <w:sz w:val="24"/>
          <w:szCs w:val="24"/>
        </w:rPr>
      </w:pPr>
      <w:r w:rsidRPr="1A23D4C7">
        <w:t xml:space="preserve">displaces communities that bore disproportionate environmental burdens just as those neighborhoods receive investment and cleanup, ensuring communities of color endure degradation’s costs but are </w:t>
      </w:r>
      <w:r w:rsidRPr="1A23D4C7">
        <w:lastRenderedPageBreak/>
        <w:t>pushed out before enjoying remediation’s benefits. The Mission District illustrates how unregulated market forces treat longtime residents as obstacles to profit rather than stakeholders with legitimate claims to place. Displacement severs social networks, destroys cultural institutions, and transfers accumulated neighborhood value to newcomers rather than those who persevered through disinvestment. Environmental justice frameworks must extend beyond opposing environmental harms to protecting communities’ ability to remain and benefit from improvements, recognizing displacement itself as an environmental justice harm.</w:t>
      </w:r>
    </w:p>
    <w:p w14:paraId="2A19E13E" w14:textId="0A1DE5D3" w:rsidR="0070589C" w:rsidRPr="00C13864" w:rsidRDefault="1A23D4C7" w:rsidP="1A23D4C7">
      <w:pPr>
        <w:pStyle w:val="ListParagraph"/>
        <w:numPr>
          <w:ilvl w:val="0"/>
          <w:numId w:val="3"/>
        </w:numPr>
        <w:ind w:right="540"/>
        <w:jc w:val="both"/>
      </w:pPr>
      <w:r w:rsidRPr="1A23D4C7">
        <w:rPr>
          <w:b/>
          <w:bCs/>
        </w:rPr>
        <w:t xml:space="preserve">Exclusionary and Inclusionary Zoning. </w:t>
      </w:r>
      <w:r w:rsidRPr="1A23D4C7">
        <w:t xml:space="preserve">Exclusionary zoning’s correlation </w:t>
      </w:r>
    </w:p>
    <w:p w14:paraId="41058AA1" w14:textId="64FE8167" w:rsidR="0070589C" w:rsidRPr="00C13864" w:rsidRDefault="1A23D4C7" w:rsidP="1A23D4C7">
      <w:pPr>
        <w:ind w:right="540"/>
        <w:jc w:val="both"/>
        <w:rPr>
          <w:b/>
          <w:bCs/>
          <w:sz w:val="24"/>
          <w:szCs w:val="24"/>
        </w:rPr>
      </w:pPr>
      <w:r w:rsidRPr="1A23D4C7">
        <w:t xml:space="preserve">with whiter, wealthier communities persists despite fair housing law, reflecting local control dynamics that </w:t>
      </w:r>
      <w:r w:rsidRPr="1A23D4C7">
        <w:rPr>
          <w:i/>
          <w:iCs/>
        </w:rPr>
        <w:t xml:space="preserve">Sackett </w:t>
      </w:r>
      <w:r w:rsidRPr="1A23D4C7">
        <w:t>reinforced by narrowing federal regulatory reach and the political economy where existing residents benefit from supply constraints inflating property values. Federal or state preemption could be justified because local zoning produces spillover harms, including segregation, scarcity, climate vulnerability concentration, that localities lack incentive to address. Professor Bronin’s critique that inclusionary zoning may backfire by increasing overall prices while producing marginal affordable units suggests mandates within a scarcity framework merely redistribute rather than alleviate harm. Her argument that zoning for more housing by right would expand supply and facilitate integration aligns with environmental justice if dismantling exclusionary structures benefits marginalized communities more than carving protected enclaves, though this requires robust anti-discrimination enforcement to ensure expanded supply actually reaches communities of color rather than enabling new displacement.</w:t>
      </w:r>
    </w:p>
    <w:p w14:paraId="37EC6C09" w14:textId="53F6FC33" w:rsidR="0070589C" w:rsidRPr="00C13864" w:rsidRDefault="0070589C" w:rsidP="1A23D4C7">
      <w:pPr>
        <w:ind w:right="540" w:firstLine="720"/>
        <w:jc w:val="both"/>
        <w:rPr>
          <w:sz w:val="24"/>
          <w:szCs w:val="24"/>
        </w:rPr>
      </w:pPr>
    </w:p>
    <w:p w14:paraId="593C2F2C" w14:textId="7C34D66E" w:rsidR="0070589C" w:rsidRPr="00C13864" w:rsidRDefault="1A23D4C7" w:rsidP="1A23D4C7">
      <w:pPr>
        <w:tabs>
          <w:tab w:val="left" w:pos="880"/>
        </w:tabs>
        <w:ind w:right="540"/>
        <w:jc w:val="both"/>
        <w:rPr>
          <w:b/>
          <w:bCs/>
          <w:sz w:val="24"/>
          <w:szCs w:val="24"/>
        </w:rPr>
      </w:pPr>
      <w:r w:rsidRPr="1A23D4C7">
        <w:rPr>
          <w:b/>
          <w:bCs/>
          <w:sz w:val="24"/>
          <w:szCs w:val="24"/>
        </w:rPr>
        <w:t>C. The Market</w:t>
      </w:r>
    </w:p>
    <w:p w14:paraId="3A103CA9" w14:textId="49243D3A" w:rsidR="0070589C" w:rsidRPr="00C13864" w:rsidRDefault="0070589C" w:rsidP="1A23D4C7">
      <w:pPr>
        <w:tabs>
          <w:tab w:val="left" w:pos="880"/>
        </w:tabs>
        <w:ind w:right="540"/>
        <w:jc w:val="both"/>
        <w:rPr>
          <w:b/>
          <w:bCs/>
          <w:sz w:val="24"/>
          <w:szCs w:val="24"/>
        </w:rPr>
      </w:pPr>
    </w:p>
    <w:p w14:paraId="445258CD" w14:textId="648CAD7A" w:rsidR="0070589C" w:rsidRPr="00C13864" w:rsidRDefault="1A23D4C7" w:rsidP="1A23D4C7">
      <w:pPr>
        <w:tabs>
          <w:tab w:val="left" w:pos="880"/>
        </w:tabs>
        <w:ind w:right="540" w:firstLine="880"/>
        <w:jc w:val="both"/>
        <w:rPr>
          <w:sz w:val="24"/>
          <w:szCs w:val="24"/>
        </w:rPr>
      </w:pPr>
      <w:r w:rsidRPr="1A23D4C7">
        <w:rPr>
          <w:sz w:val="24"/>
          <w:szCs w:val="24"/>
        </w:rPr>
        <w:t>Robin Saha and Paul Mohai have attempted to develop a complete range of explanations for distributional inequalities. Their framework consists of two classes of explanations: (1) disproportionate siting; and (2) post-siting demographic change. The first class of explanations includes those that account for the placement of LULUs in neighborhoods or communities that have a significantly higher percentages of minorities or persons of lower socioeconomic status at the time of siting than comparison areas where facilities could have been located. The second class of explanations accounts for demographic changes occurring after siting.</w:t>
      </w:r>
    </w:p>
    <w:p w14:paraId="20E72C4F" w14:textId="77777777" w:rsidR="0070589C" w:rsidRPr="00C13864" w:rsidRDefault="0070589C" w:rsidP="1A23D4C7">
      <w:pPr>
        <w:tabs>
          <w:tab w:val="left" w:pos="880"/>
        </w:tabs>
        <w:jc w:val="both"/>
        <w:rPr>
          <w:sz w:val="24"/>
          <w:szCs w:val="24"/>
        </w:rPr>
      </w:pPr>
    </w:p>
    <w:p w14:paraId="70E29028" w14:textId="77777777" w:rsidR="0070589C" w:rsidRPr="00C13864" w:rsidRDefault="1A23D4C7" w:rsidP="1A23D4C7">
      <w:pPr>
        <w:tabs>
          <w:tab w:val="left" w:pos="880"/>
        </w:tabs>
        <w:ind w:right="540" w:firstLine="880"/>
        <w:jc w:val="both"/>
        <w:rPr>
          <w:sz w:val="24"/>
          <w:szCs w:val="24"/>
        </w:rPr>
      </w:pPr>
      <w:r w:rsidRPr="1A23D4C7">
        <w:rPr>
          <w:sz w:val="24"/>
          <w:szCs w:val="24"/>
        </w:rPr>
        <w:t>Saha and Mohai divide explanations of disproportionate siting into three groups: (1) economic; (2) socio-political; and (3) racial discrimination. They divide explanations for disproportionate post-siting demographic changes into two groups: (1) economic downgrading; and (2) housing discrimination. Obviously, many of the explanations overlap. The various explanations are displayed in these two tables:</w:t>
      </w:r>
    </w:p>
    <w:p w14:paraId="198B2BEA" w14:textId="77777777" w:rsidR="0070589C" w:rsidRPr="00C13864" w:rsidRDefault="0070589C" w:rsidP="1A23D4C7">
      <w:pPr>
        <w:pStyle w:val="BodyText"/>
        <w:spacing w:before="9"/>
        <w:jc w:val="both"/>
        <w:rPr>
          <w:sz w:val="28"/>
          <w:szCs w:val="28"/>
        </w:rPr>
      </w:pPr>
    </w:p>
    <w:p w14:paraId="350A9359" w14:textId="77777777" w:rsidR="0070589C" w:rsidRPr="00C13864" w:rsidRDefault="1A23D4C7" w:rsidP="1A23D4C7">
      <w:pPr>
        <w:pStyle w:val="Heading1"/>
        <w:spacing w:before="58"/>
        <w:ind w:left="880"/>
        <w:jc w:val="both"/>
      </w:pPr>
      <w:r>
        <w:t>Table 1: Theoretical Explanations of Disproportionate Siting</w:t>
      </w:r>
    </w:p>
    <w:p w14:paraId="50585821" w14:textId="77777777" w:rsidR="0070589C" w:rsidRPr="00C13864" w:rsidRDefault="0070589C" w:rsidP="1A23D4C7">
      <w:pPr>
        <w:pStyle w:val="BodyText"/>
        <w:spacing w:before="1"/>
        <w:jc w:val="both"/>
        <w:rPr>
          <w:b/>
          <w:bCs/>
        </w:rPr>
      </w:pPr>
    </w:p>
    <w:tbl>
      <w:tblPr>
        <w:tblW w:w="0" w:type="auto"/>
        <w:tblInd w:w="180" w:type="dxa"/>
        <w:tblLook w:val="04A0" w:firstRow="1" w:lastRow="0" w:firstColumn="1" w:lastColumn="0" w:noHBand="0" w:noVBand="1"/>
      </w:tblPr>
      <w:tblGrid>
        <w:gridCol w:w="3120"/>
        <w:gridCol w:w="3120"/>
        <w:gridCol w:w="2390"/>
      </w:tblGrid>
      <w:tr w:rsidR="1A23D4C7" w14:paraId="6336A6E5" w14:textId="77777777" w:rsidTr="1A23D4C7">
        <w:trPr>
          <w:trHeight w:val="433"/>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427B864" w14:textId="77777777" w:rsidR="1A23D4C7" w:rsidRDefault="1A23D4C7" w:rsidP="1A23D4C7">
            <w:pPr>
              <w:pStyle w:val="TableParagraph"/>
              <w:spacing w:before="100" w:line="256" w:lineRule="auto"/>
              <w:ind w:left="110"/>
              <w:jc w:val="both"/>
              <w:rPr>
                <w:b/>
                <w:bCs/>
              </w:rPr>
            </w:pPr>
            <w:r w:rsidRPr="1A23D4C7">
              <w:rPr>
                <w:b/>
                <w:bCs/>
              </w:rPr>
              <w:t>Economic</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2D6EF9F" w14:textId="77777777" w:rsidR="1A23D4C7" w:rsidRDefault="1A23D4C7" w:rsidP="1A23D4C7">
            <w:pPr>
              <w:pStyle w:val="TableParagraph"/>
              <w:spacing w:before="100" w:line="256" w:lineRule="auto"/>
              <w:ind w:left="110"/>
              <w:jc w:val="both"/>
              <w:rPr>
                <w:b/>
                <w:bCs/>
              </w:rPr>
            </w:pPr>
            <w:r w:rsidRPr="1A23D4C7">
              <w:rPr>
                <w:b/>
                <w:bCs/>
              </w:rPr>
              <w:t>Sociopolitical</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C1923EB" w14:textId="77777777" w:rsidR="1A23D4C7" w:rsidRDefault="1A23D4C7" w:rsidP="1A23D4C7">
            <w:pPr>
              <w:pStyle w:val="TableParagraph"/>
              <w:spacing w:before="100" w:line="256" w:lineRule="auto"/>
              <w:ind w:left="110"/>
              <w:jc w:val="both"/>
              <w:rPr>
                <w:b/>
                <w:bCs/>
              </w:rPr>
            </w:pPr>
            <w:r w:rsidRPr="1A23D4C7">
              <w:rPr>
                <w:b/>
                <w:bCs/>
              </w:rPr>
              <w:t>Racial Discrimination</w:t>
            </w:r>
          </w:p>
        </w:tc>
      </w:tr>
      <w:tr w:rsidR="1A23D4C7" w14:paraId="14C9E6DB" w14:textId="77777777" w:rsidTr="1A23D4C7">
        <w:trPr>
          <w:trHeight w:val="433"/>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166B5C" w14:textId="77777777" w:rsidR="1A23D4C7" w:rsidRDefault="1A23D4C7" w:rsidP="1A23D4C7">
            <w:pPr>
              <w:pStyle w:val="TableParagraph"/>
              <w:spacing w:before="100" w:line="256" w:lineRule="auto"/>
              <w:ind w:left="110"/>
              <w:jc w:val="both"/>
            </w:pPr>
            <w:r>
              <w:t>Transportation Costs</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56A2A3D" w14:textId="77777777" w:rsidR="1A23D4C7" w:rsidRDefault="1A23D4C7" w:rsidP="1A23D4C7">
            <w:pPr>
              <w:pStyle w:val="TableParagraph"/>
              <w:spacing w:before="100" w:line="256" w:lineRule="auto"/>
              <w:ind w:left="110"/>
              <w:jc w:val="both"/>
            </w:pPr>
            <w:r>
              <w:t>Failure of Legal System</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657C35A" w14:textId="77777777" w:rsidR="1A23D4C7" w:rsidRDefault="1A23D4C7" w:rsidP="1A23D4C7">
            <w:pPr>
              <w:pStyle w:val="TableParagraph"/>
              <w:spacing w:before="100" w:line="256" w:lineRule="auto"/>
              <w:ind w:left="110"/>
              <w:jc w:val="both"/>
            </w:pPr>
            <w:r>
              <w:t>Racial Targeting</w:t>
            </w:r>
          </w:p>
        </w:tc>
      </w:tr>
      <w:tr w:rsidR="1A23D4C7" w14:paraId="7B31C0E0" w14:textId="77777777" w:rsidTr="1A23D4C7">
        <w:trPr>
          <w:trHeight w:val="433"/>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C67FCC5" w14:textId="77777777" w:rsidR="1A23D4C7" w:rsidRDefault="1A23D4C7" w:rsidP="1A23D4C7">
            <w:pPr>
              <w:pStyle w:val="TableParagraph"/>
              <w:spacing w:before="100" w:line="256" w:lineRule="auto"/>
              <w:ind w:left="110"/>
              <w:jc w:val="both"/>
            </w:pPr>
            <w:r>
              <w:t>Land or Property Costs</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16D84FA" w14:textId="77777777" w:rsidR="1A23D4C7" w:rsidRDefault="1A23D4C7" w:rsidP="1A23D4C7">
            <w:pPr>
              <w:pStyle w:val="TableParagraph"/>
              <w:spacing w:before="100" w:line="256" w:lineRule="auto"/>
              <w:ind w:left="108"/>
              <w:jc w:val="both"/>
            </w:pPr>
            <w:r>
              <w:t>“Path of Least Resistance”</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DB18610" w14:textId="77777777" w:rsidR="1A23D4C7" w:rsidRDefault="1A23D4C7" w:rsidP="1A23D4C7">
            <w:pPr>
              <w:pStyle w:val="TableParagraph"/>
              <w:spacing w:before="100" w:line="256" w:lineRule="auto"/>
              <w:ind w:left="108"/>
              <w:jc w:val="both"/>
            </w:pPr>
            <w:r>
              <w:t>Institutional Racism</w:t>
            </w:r>
          </w:p>
        </w:tc>
      </w:tr>
      <w:tr w:rsidR="1A23D4C7" w14:paraId="0F15016A" w14:textId="77777777" w:rsidTr="1A23D4C7">
        <w:trPr>
          <w:trHeight w:val="414"/>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FB09A4" w14:textId="77777777" w:rsidR="1A23D4C7" w:rsidRDefault="1A23D4C7" w:rsidP="1A23D4C7">
            <w:pPr>
              <w:pStyle w:val="TableParagraph"/>
              <w:spacing w:before="100" w:line="256" w:lineRule="auto"/>
              <w:ind w:left="110"/>
              <w:jc w:val="both"/>
            </w:pPr>
            <w:r>
              <w:lastRenderedPageBreak/>
              <w:t>Public Opposition Costs</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04B401" w14:textId="77777777" w:rsidR="1A23D4C7" w:rsidRDefault="1A23D4C7" w:rsidP="1A23D4C7">
            <w:pPr>
              <w:pStyle w:val="TableParagraph"/>
              <w:spacing w:line="256" w:lineRule="auto"/>
              <w:jc w:val="both"/>
            </w:pP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73F9CB5" w14:textId="77777777" w:rsidR="1A23D4C7" w:rsidRDefault="1A23D4C7" w:rsidP="1A23D4C7">
            <w:pPr>
              <w:pStyle w:val="TableParagraph"/>
              <w:spacing w:line="256" w:lineRule="auto"/>
              <w:jc w:val="both"/>
            </w:pPr>
          </w:p>
        </w:tc>
      </w:tr>
    </w:tbl>
    <w:p w14:paraId="34BADF14" w14:textId="77777777" w:rsidR="0070589C" w:rsidRPr="00C13864" w:rsidRDefault="0070589C" w:rsidP="1A23D4C7">
      <w:pPr>
        <w:pStyle w:val="BodyText"/>
        <w:spacing w:before="1"/>
        <w:jc w:val="both"/>
        <w:rPr>
          <w:b/>
          <w:bCs/>
        </w:rPr>
      </w:pPr>
    </w:p>
    <w:p w14:paraId="7376B2DC" w14:textId="77777777" w:rsidR="0070589C" w:rsidRPr="00C13864" w:rsidRDefault="1A23D4C7" w:rsidP="1A23D4C7">
      <w:pPr>
        <w:pStyle w:val="BodyText"/>
        <w:ind w:left="880"/>
        <w:jc w:val="both"/>
        <w:rPr>
          <w:b/>
          <w:bCs/>
        </w:rPr>
      </w:pPr>
      <w:r w:rsidRPr="1A23D4C7">
        <w:rPr>
          <w:b/>
          <w:bCs/>
        </w:rPr>
        <w:t>Table 2: Theoretical Explanations of Post-Siting Demographic Change</w:t>
      </w:r>
    </w:p>
    <w:p w14:paraId="6B0282C5" w14:textId="77777777" w:rsidR="0070589C" w:rsidRPr="00C13864" w:rsidRDefault="0070589C" w:rsidP="1A23D4C7">
      <w:pPr>
        <w:pStyle w:val="BodyText"/>
        <w:spacing w:before="1"/>
        <w:jc w:val="both"/>
        <w:rPr>
          <w:b/>
          <w:bCs/>
        </w:rPr>
      </w:pPr>
    </w:p>
    <w:tbl>
      <w:tblPr>
        <w:tblW w:w="0" w:type="auto"/>
        <w:tblInd w:w="180" w:type="dxa"/>
        <w:tblLook w:val="04A0" w:firstRow="1" w:lastRow="0" w:firstColumn="1" w:lastColumn="0" w:noHBand="0" w:noVBand="1"/>
      </w:tblPr>
      <w:tblGrid>
        <w:gridCol w:w="4680"/>
        <w:gridCol w:w="3950"/>
      </w:tblGrid>
      <w:tr w:rsidR="1A23D4C7" w14:paraId="5E2DECA2" w14:textId="77777777" w:rsidTr="1A23D4C7">
        <w:trPr>
          <w:trHeight w:val="433"/>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A3518A1" w14:textId="77777777" w:rsidR="1A23D4C7" w:rsidRDefault="1A23D4C7" w:rsidP="1A23D4C7">
            <w:pPr>
              <w:pStyle w:val="TableParagraph"/>
              <w:spacing w:before="100" w:line="256" w:lineRule="auto"/>
              <w:ind w:left="110"/>
              <w:jc w:val="both"/>
              <w:rPr>
                <w:b/>
                <w:bCs/>
              </w:rPr>
            </w:pPr>
            <w:r w:rsidRPr="1A23D4C7">
              <w:rPr>
                <w:b/>
                <w:bCs/>
              </w:rPr>
              <w:t>Economic Downgrading</w:t>
            </w: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4D5415" w14:textId="77777777" w:rsidR="1A23D4C7" w:rsidRDefault="1A23D4C7" w:rsidP="1A23D4C7">
            <w:pPr>
              <w:pStyle w:val="TableParagraph"/>
              <w:spacing w:before="100" w:line="256" w:lineRule="auto"/>
              <w:ind w:left="110"/>
              <w:jc w:val="both"/>
              <w:rPr>
                <w:b/>
                <w:bCs/>
              </w:rPr>
            </w:pPr>
            <w:r w:rsidRPr="1A23D4C7">
              <w:rPr>
                <w:b/>
                <w:bCs/>
              </w:rPr>
              <w:t>Housing Discrimination</w:t>
            </w:r>
          </w:p>
        </w:tc>
      </w:tr>
      <w:tr w:rsidR="1A23D4C7" w14:paraId="23532FEC" w14:textId="77777777" w:rsidTr="1A23D4C7">
        <w:trPr>
          <w:trHeight w:val="709"/>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E6CF4C2" w14:textId="77777777" w:rsidR="1A23D4C7" w:rsidRDefault="1A23D4C7" w:rsidP="1A23D4C7">
            <w:pPr>
              <w:pStyle w:val="TableParagraph"/>
              <w:spacing w:before="100" w:line="256" w:lineRule="auto"/>
              <w:ind w:left="110"/>
              <w:jc w:val="both"/>
            </w:pPr>
            <w:r>
              <w:t>LULU Induced Declines in Neighborhood Quality</w:t>
            </w: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A50AA78" w14:textId="77777777" w:rsidR="1A23D4C7" w:rsidRDefault="1A23D4C7" w:rsidP="1A23D4C7">
            <w:pPr>
              <w:pStyle w:val="TableParagraph"/>
              <w:spacing w:line="256" w:lineRule="auto"/>
              <w:jc w:val="both"/>
            </w:pPr>
          </w:p>
        </w:tc>
      </w:tr>
      <w:tr w:rsidR="1A23D4C7" w14:paraId="7DB4C62D" w14:textId="77777777" w:rsidTr="1A23D4C7">
        <w:trPr>
          <w:trHeight w:val="414"/>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65BAB37" w14:textId="77777777" w:rsidR="1A23D4C7" w:rsidRDefault="1A23D4C7" w:rsidP="1A23D4C7">
            <w:pPr>
              <w:pStyle w:val="TableParagraph"/>
              <w:spacing w:before="100" w:line="256" w:lineRule="auto"/>
              <w:ind w:left="110"/>
              <w:jc w:val="both"/>
            </w:pPr>
            <w:r>
              <w:t>LULU Induced Declines in Property Value</w:t>
            </w: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8621446" w14:textId="77777777" w:rsidR="1A23D4C7" w:rsidRDefault="1A23D4C7" w:rsidP="1A23D4C7">
            <w:pPr>
              <w:pStyle w:val="TableParagraph"/>
              <w:spacing w:line="256" w:lineRule="auto"/>
              <w:jc w:val="both"/>
            </w:pPr>
          </w:p>
        </w:tc>
      </w:tr>
    </w:tbl>
    <w:p w14:paraId="3542890A" w14:textId="77777777" w:rsidR="0070589C" w:rsidRPr="00C13864" w:rsidRDefault="0070589C" w:rsidP="1A23D4C7">
      <w:pPr>
        <w:pStyle w:val="BodyText"/>
        <w:spacing w:before="1"/>
        <w:jc w:val="both"/>
        <w:rPr>
          <w:b/>
          <w:bCs/>
        </w:rPr>
      </w:pPr>
    </w:p>
    <w:p w14:paraId="46ADC77F" w14:textId="77777777" w:rsidR="0070589C" w:rsidRPr="00C13864" w:rsidRDefault="1A23D4C7" w:rsidP="1A23D4C7">
      <w:pPr>
        <w:pStyle w:val="BodyText"/>
        <w:ind w:left="160" w:right="540"/>
        <w:jc w:val="both"/>
        <w:rPr>
          <w:b/>
          <w:bCs/>
        </w:rPr>
      </w:pPr>
      <w:r w:rsidRPr="1A23D4C7">
        <w:rPr>
          <w:b/>
          <w:bCs/>
        </w:rPr>
        <w:t>Robin Saha and Paul Mohai Explaining Racial and Socioeconomic Disparities in the Location of Locally Unwanted Land Uses: A Conceptual Framework (1997).</w:t>
      </w:r>
    </w:p>
    <w:p w14:paraId="751CA320" w14:textId="77777777" w:rsidR="0070589C" w:rsidRPr="00C13864" w:rsidRDefault="0070589C" w:rsidP="1A23D4C7">
      <w:pPr>
        <w:pStyle w:val="BodyText"/>
        <w:jc w:val="both"/>
        <w:rPr>
          <w:b/>
          <w:bCs/>
        </w:rPr>
      </w:pPr>
    </w:p>
    <w:p w14:paraId="6DC4C143" w14:textId="77777777" w:rsidR="0070589C" w:rsidRPr="00C13864" w:rsidRDefault="1A23D4C7" w:rsidP="1A23D4C7">
      <w:pPr>
        <w:pStyle w:val="BodyText"/>
        <w:ind w:left="160" w:right="897" w:firstLine="720"/>
        <w:jc w:val="both"/>
      </w:pPr>
      <w:r>
        <w:t>Using this framework, the readings suggest more specific mechanisms by which economic, socio-political and institutional racial discrimination occur during the siting process. The students might be encouraged to collectively prepare a similar chart.</w:t>
      </w:r>
    </w:p>
    <w:p w14:paraId="46ED48F1" w14:textId="77777777" w:rsidR="0070589C" w:rsidRPr="00C13864" w:rsidRDefault="0070589C" w:rsidP="1A23D4C7">
      <w:pPr>
        <w:pStyle w:val="BodyText"/>
        <w:ind w:left="160" w:right="897" w:firstLine="720"/>
        <w:jc w:val="both"/>
      </w:pPr>
    </w:p>
    <w:tbl>
      <w:tblPr>
        <w:tblW w:w="0" w:type="auto"/>
        <w:tblInd w:w="180" w:type="dxa"/>
        <w:tblLook w:val="04A0" w:firstRow="1" w:lastRow="0" w:firstColumn="1" w:lastColumn="0" w:noHBand="0" w:noVBand="1"/>
      </w:tblPr>
      <w:tblGrid>
        <w:gridCol w:w="3120"/>
        <w:gridCol w:w="3120"/>
        <w:gridCol w:w="2390"/>
      </w:tblGrid>
      <w:tr w:rsidR="1A23D4C7" w14:paraId="2C82172A" w14:textId="77777777" w:rsidTr="1A23D4C7">
        <w:trPr>
          <w:trHeight w:val="433"/>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606FFDA" w14:textId="77777777" w:rsidR="1A23D4C7" w:rsidRDefault="1A23D4C7" w:rsidP="1A23D4C7">
            <w:pPr>
              <w:pStyle w:val="TableParagraph"/>
              <w:spacing w:before="100" w:line="256" w:lineRule="auto"/>
              <w:ind w:left="110"/>
              <w:jc w:val="both"/>
              <w:rPr>
                <w:b/>
                <w:bCs/>
              </w:rPr>
            </w:pPr>
            <w:r w:rsidRPr="1A23D4C7">
              <w:rPr>
                <w:b/>
                <w:bCs/>
              </w:rPr>
              <w:t>Economic</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A7ACEF" w14:textId="77777777" w:rsidR="1A23D4C7" w:rsidRDefault="1A23D4C7" w:rsidP="1A23D4C7">
            <w:pPr>
              <w:pStyle w:val="TableParagraph"/>
              <w:spacing w:before="100" w:line="256" w:lineRule="auto"/>
              <w:ind w:left="110"/>
              <w:jc w:val="both"/>
              <w:rPr>
                <w:b/>
                <w:bCs/>
              </w:rPr>
            </w:pPr>
            <w:r w:rsidRPr="1A23D4C7">
              <w:rPr>
                <w:b/>
                <w:bCs/>
              </w:rPr>
              <w:t>Socio-Political</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2D2B2F2" w14:textId="77777777" w:rsidR="1A23D4C7" w:rsidRDefault="1A23D4C7" w:rsidP="1A23D4C7">
            <w:pPr>
              <w:pStyle w:val="TableParagraph"/>
              <w:spacing w:before="100" w:line="256" w:lineRule="auto"/>
              <w:ind w:left="110"/>
              <w:jc w:val="both"/>
              <w:rPr>
                <w:b/>
                <w:bCs/>
              </w:rPr>
            </w:pPr>
            <w:r w:rsidRPr="1A23D4C7">
              <w:rPr>
                <w:b/>
                <w:bCs/>
              </w:rPr>
              <w:t>Racial Discrimination</w:t>
            </w:r>
          </w:p>
        </w:tc>
      </w:tr>
      <w:tr w:rsidR="1A23D4C7" w14:paraId="697E54ED" w14:textId="77777777" w:rsidTr="1A23D4C7">
        <w:trPr>
          <w:trHeight w:val="709"/>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593B6F7" w14:textId="77777777" w:rsidR="1A23D4C7" w:rsidRDefault="1A23D4C7" w:rsidP="1A23D4C7">
            <w:pPr>
              <w:pStyle w:val="TableParagraph"/>
              <w:spacing w:before="100" w:line="256" w:lineRule="auto"/>
              <w:ind w:left="110" w:right="1030"/>
              <w:jc w:val="both"/>
            </w:pPr>
            <w:r>
              <w:t>lower compensation packages</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E2273E" w14:textId="77777777" w:rsidR="1A23D4C7" w:rsidRDefault="1A23D4C7" w:rsidP="1A23D4C7">
            <w:pPr>
              <w:pStyle w:val="TableParagraph"/>
              <w:spacing w:before="100" w:line="256" w:lineRule="auto"/>
              <w:ind w:left="110" w:right="630"/>
              <w:jc w:val="both"/>
            </w:pPr>
            <w:r>
              <w:t>NIMBY-ism of nearby groups</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BB85AF7" w14:textId="77777777" w:rsidR="1A23D4C7" w:rsidRDefault="1A23D4C7" w:rsidP="1A23D4C7">
            <w:pPr>
              <w:pStyle w:val="TableParagraph"/>
              <w:spacing w:before="100" w:line="256" w:lineRule="auto"/>
              <w:ind w:left="110"/>
              <w:jc w:val="both"/>
            </w:pPr>
            <w:r>
              <w:t>culturally less inclined to challenge siting</w:t>
            </w:r>
          </w:p>
        </w:tc>
      </w:tr>
      <w:tr w:rsidR="1A23D4C7" w14:paraId="5FE6F893" w14:textId="77777777" w:rsidTr="1A23D4C7">
        <w:trPr>
          <w:trHeight w:val="709"/>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3629F12" w14:textId="77777777" w:rsidR="1A23D4C7" w:rsidRDefault="1A23D4C7" w:rsidP="1A23D4C7">
            <w:pPr>
              <w:pStyle w:val="TableParagraph"/>
              <w:spacing w:before="100" w:line="256" w:lineRule="auto"/>
              <w:ind w:left="110"/>
              <w:jc w:val="both"/>
            </w:pPr>
            <w:r>
              <w:t>nearby labor pool</w:t>
            </w: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AD7D663" w14:textId="77777777" w:rsidR="1A23D4C7" w:rsidRDefault="1A23D4C7" w:rsidP="1A23D4C7">
            <w:pPr>
              <w:pStyle w:val="TableParagraph"/>
              <w:spacing w:before="100" w:line="256" w:lineRule="auto"/>
              <w:ind w:left="110" w:right="1030"/>
              <w:jc w:val="both"/>
            </w:pPr>
            <w:r>
              <w:t>less time, money to participate</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E6E6E8" w14:textId="77777777" w:rsidR="1A23D4C7" w:rsidRDefault="1A23D4C7" w:rsidP="1A23D4C7">
            <w:pPr>
              <w:pStyle w:val="TableParagraph"/>
              <w:spacing w:before="100" w:line="256" w:lineRule="auto"/>
              <w:ind w:left="110"/>
              <w:jc w:val="both"/>
            </w:pPr>
            <w:r>
              <w:t>expulsive zoning</w:t>
            </w:r>
          </w:p>
        </w:tc>
      </w:tr>
      <w:tr w:rsidR="1A23D4C7" w14:paraId="4DA06DC4" w14:textId="77777777" w:rsidTr="1A23D4C7">
        <w:trPr>
          <w:trHeight w:val="709"/>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6EECDD6" w14:textId="77777777" w:rsidR="1A23D4C7" w:rsidRDefault="1A23D4C7" w:rsidP="1A23D4C7">
            <w:pPr>
              <w:pStyle w:val="TableParagraph"/>
              <w:spacing w:line="256" w:lineRule="auto"/>
              <w:jc w:val="both"/>
            </w:pP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734769" w14:textId="77777777" w:rsidR="1A23D4C7" w:rsidRDefault="1A23D4C7" w:rsidP="1A23D4C7">
            <w:pPr>
              <w:pStyle w:val="TableParagraph"/>
              <w:spacing w:before="100" w:line="256" w:lineRule="auto"/>
              <w:ind w:left="110"/>
              <w:jc w:val="both"/>
            </w:pPr>
            <w:r>
              <w:t>lack of education</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9C99A5F" w14:textId="77777777" w:rsidR="1A23D4C7" w:rsidRDefault="1A23D4C7" w:rsidP="1A23D4C7">
            <w:pPr>
              <w:pStyle w:val="TableParagraph"/>
              <w:spacing w:before="100" w:line="256" w:lineRule="auto"/>
              <w:ind w:left="110" w:right="491"/>
              <w:jc w:val="both"/>
            </w:pPr>
            <w:r>
              <w:t>less influence over public officials</w:t>
            </w:r>
          </w:p>
        </w:tc>
      </w:tr>
      <w:tr w:rsidR="1A23D4C7" w14:paraId="756F640A" w14:textId="77777777" w:rsidTr="1A23D4C7">
        <w:trPr>
          <w:trHeight w:val="1261"/>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8ACBF02" w14:textId="77777777" w:rsidR="1A23D4C7" w:rsidRDefault="1A23D4C7" w:rsidP="1A23D4C7">
            <w:pPr>
              <w:pStyle w:val="TableParagraph"/>
              <w:spacing w:line="256" w:lineRule="auto"/>
              <w:jc w:val="both"/>
            </w:pP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8F1BBDF" w14:textId="77777777" w:rsidR="1A23D4C7" w:rsidRDefault="1A23D4C7" w:rsidP="1A23D4C7">
            <w:pPr>
              <w:pStyle w:val="TableParagraph"/>
              <w:spacing w:before="100" w:line="256" w:lineRule="auto"/>
              <w:ind w:left="110"/>
              <w:jc w:val="both"/>
            </w:pPr>
            <w:r>
              <w:t>siting criteria to place away from schools, hospitals and other amenities lacking in minority communities.</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F43F1B" w14:textId="77777777" w:rsidR="1A23D4C7" w:rsidRDefault="1A23D4C7" w:rsidP="1A23D4C7">
            <w:pPr>
              <w:pStyle w:val="TableParagraph"/>
              <w:spacing w:before="100" w:line="256" w:lineRule="auto"/>
              <w:ind w:left="110"/>
              <w:jc w:val="both"/>
            </w:pPr>
            <w:r>
              <w:t>siting criteria to place away from schools, hospitals and other amenities lacking in minority communities.</w:t>
            </w:r>
          </w:p>
        </w:tc>
      </w:tr>
      <w:tr w:rsidR="1A23D4C7" w14:paraId="2EE3135A" w14:textId="77777777" w:rsidTr="1A23D4C7">
        <w:trPr>
          <w:trHeight w:val="709"/>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8E00406" w14:textId="77777777" w:rsidR="1A23D4C7" w:rsidRDefault="1A23D4C7" w:rsidP="1A23D4C7">
            <w:pPr>
              <w:pStyle w:val="TableParagraph"/>
              <w:spacing w:line="256" w:lineRule="auto"/>
              <w:jc w:val="both"/>
            </w:pP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848CB7" w14:textId="77777777" w:rsidR="1A23D4C7" w:rsidRDefault="1A23D4C7" w:rsidP="1A23D4C7">
            <w:pPr>
              <w:pStyle w:val="TableParagraph"/>
              <w:spacing w:before="100" w:line="256" w:lineRule="auto"/>
              <w:ind w:left="110" w:right="630"/>
              <w:jc w:val="both"/>
            </w:pPr>
            <w:r>
              <w:t>tax subsidies to promote economic development</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5697DC05" w14:textId="77777777" w:rsidR="1A23D4C7" w:rsidRDefault="1A23D4C7" w:rsidP="1A23D4C7">
            <w:pPr>
              <w:pStyle w:val="TableParagraph"/>
              <w:spacing w:before="100" w:line="256" w:lineRule="auto"/>
              <w:ind w:left="110" w:right="305"/>
              <w:jc w:val="both"/>
            </w:pPr>
            <w:r>
              <w:t>assume minorities are more interested in jobs</w:t>
            </w:r>
          </w:p>
        </w:tc>
      </w:tr>
      <w:tr w:rsidR="1A23D4C7" w14:paraId="0EDE9508" w14:textId="77777777" w:rsidTr="1A23D4C7">
        <w:trPr>
          <w:trHeight w:val="966"/>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F7FC4D4" w14:textId="77777777" w:rsidR="1A23D4C7" w:rsidRDefault="1A23D4C7" w:rsidP="1A23D4C7">
            <w:pPr>
              <w:pStyle w:val="TableParagraph"/>
              <w:spacing w:line="256" w:lineRule="auto"/>
              <w:jc w:val="both"/>
            </w:pP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95811B0" w14:textId="77777777" w:rsidR="1A23D4C7" w:rsidRDefault="1A23D4C7" w:rsidP="1A23D4C7">
            <w:pPr>
              <w:pStyle w:val="TableParagraph"/>
              <w:spacing w:before="100" w:line="256" w:lineRule="auto"/>
              <w:ind w:left="110" w:right="271"/>
              <w:jc w:val="both"/>
            </w:pPr>
            <w:r>
              <w:t>fewer exactions from public bodies to promote development</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E663169" w14:textId="77777777" w:rsidR="1A23D4C7" w:rsidRDefault="1A23D4C7" w:rsidP="1A23D4C7">
            <w:pPr>
              <w:pStyle w:val="TableParagraph"/>
              <w:spacing w:line="256" w:lineRule="auto"/>
              <w:jc w:val="both"/>
            </w:pPr>
          </w:p>
        </w:tc>
      </w:tr>
      <w:tr w:rsidR="1A23D4C7" w14:paraId="7E16463B" w14:textId="77777777" w:rsidTr="1A23D4C7">
        <w:trPr>
          <w:trHeight w:val="690"/>
        </w:trPr>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78E6322" w14:textId="77777777" w:rsidR="1A23D4C7" w:rsidRDefault="1A23D4C7" w:rsidP="1A23D4C7">
            <w:pPr>
              <w:pStyle w:val="TableParagraph"/>
              <w:spacing w:line="256" w:lineRule="auto"/>
              <w:jc w:val="both"/>
            </w:pPr>
          </w:p>
        </w:tc>
        <w:tc>
          <w:tcPr>
            <w:tcW w:w="312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2AB9CFA" w14:textId="77777777" w:rsidR="1A23D4C7" w:rsidRDefault="1A23D4C7" w:rsidP="1A23D4C7">
            <w:pPr>
              <w:pStyle w:val="TableParagraph"/>
              <w:spacing w:before="100" w:line="256" w:lineRule="auto"/>
              <w:ind w:left="110" w:right="510"/>
              <w:jc w:val="both"/>
            </w:pPr>
            <w:r>
              <w:t>less influence over public officials</w:t>
            </w:r>
          </w:p>
        </w:tc>
        <w:tc>
          <w:tcPr>
            <w:tcW w:w="239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E186344" w14:textId="77777777" w:rsidR="1A23D4C7" w:rsidRDefault="1A23D4C7" w:rsidP="1A23D4C7">
            <w:pPr>
              <w:pStyle w:val="TableParagraph"/>
              <w:spacing w:line="256" w:lineRule="auto"/>
              <w:jc w:val="both"/>
            </w:pPr>
          </w:p>
        </w:tc>
      </w:tr>
    </w:tbl>
    <w:p w14:paraId="332B10B6" w14:textId="77777777" w:rsidR="0070589C" w:rsidRPr="00C13864" w:rsidRDefault="0070589C" w:rsidP="1A23D4C7">
      <w:pPr>
        <w:pStyle w:val="BodyText"/>
        <w:spacing w:before="1"/>
        <w:jc w:val="both"/>
      </w:pPr>
    </w:p>
    <w:p w14:paraId="5A77706A" w14:textId="77777777" w:rsidR="0070589C" w:rsidRPr="00C13864" w:rsidRDefault="1A23D4C7" w:rsidP="1A23D4C7">
      <w:pPr>
        <w:pStyle w:val="Heading1"/>
        <w:spacing w:before="58"/>
        <w:jc w:val="center"/>
      </w:pPr>
      <w:r>
        <w:t>Table 3: Post Siting Factors</w:t>
      </w:r>
    </w:p>
    <w:p w14:paraId="416DF2EB" w14:textId="77777777" w:rsidR="0070589C" w:rsidRPr="00C13864" w:rsidRDefault="0070589C" w:rsidP="1A23D4C7"/>
    <w:tbl>
      <w:tblPr>
        <w:tblW w:w="0" w:type="auto"/>
        <w:tblInd w:w="180" w:type="dxa"/>
        <w:tblLook w:val="04A0" w:firstRow="1" w:lastRow="0" w:firstColumn="1" w:lastColumn="0" w:noHBand="0" w:noVBand="1"/>
      </w:tblPr>
      <w:tblGrid>
        <w:gridCol w:w="4680"/>
        <w:gridCol w:w="3950"/>
      </w:tblGrid>
      <w:tr w:rsidR="1A23D4C7" w14:paraId="6938EFFB" w14:textId="77777777" w:rsidTr="1A23D4C7">
        <w:trPr>
          <w:trHeight w:val="433"/>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5DF7F49" w14:textId="77777777" w:rsidR="1A23D4C7" w:rsidRDefault="1A23D4C7" w:rsidP="1A23D4C7">
            <w:pPr>
              <w:pStyle w:val="TableParagraph"/>
              <w:spacing w:before="100" w:line="256" w:lineRule="auto"/>
              <w:ind w:left="110"/>
              <w:jc w:val="both"/>
              <w:rPr>
                <w:b/>
                <w:bCs/>
              </w:rPr>
            </w:pPr>
            <w:r w:rsidRPr="1A23D4C7">
              <w:rPr>
                <w:b/>
                <w:bCs/>
              </w:rPr>
              <w:t>Economic downgrading</w:t>
            </w: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5643CCC" w14:textId="77777777" w:rsidR="1A23D4C7" w:rsidRDefault="1A23D4C7" w:rsidP="1A23D4C7">
            <w:pPr>
              <w:pStyle w:val="TableParagraph"/>
              <w:spacing w:before="100" w:line="256" w:lineRule="auto"/>
              <w:ind w:left="108"/>
              <w:jc w:val="both"/>
              <w:rPr>
                <w:b/>
                <w:bCs/>
              </w:rPr>
            </w:pPr>
            <w:r w:rsidRPr="1A23D4C7">
              <w:rPr>
                <w:b/>
                <w:bCs/>
              </w:rPr>
              <w:t>Housing Discrimination</w:t>
            </w:r>
          </w:p>
        </w:tc>
      </w:tr>
      <w:tr w:rsidR="1A23D4C7" w14:paraId="7138994B" w14:textId="77777777" w:rsidTr="1A23D4C7">
        <w:trPr>
          <w:trHeight w:val="709"/>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7DBF2F75" w14:textId="77777777" w:rsidR="1A23D4C7" w:rsidRDefault="1A23D4C7" w:rsidP="1A23D4C7">
            <w:pPr>
              <w:pStyle w:val="TableParagraph"/>
              <w:spacing w:before="100" w:line="256" w:lineRule="auto"/>
              <w:ind w:left="110" w:right="191"/>
              <w:jc w:val="both"/>
            </w:pPr>
            <w:r>
              <w:t>blue collar workers seek out employment near jobs</w:t>
            </w: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3AB1ACE" w14:textId="77777777" w:rsidR="1A23D4C7" w:rsidRDefault="1A23D4C7" w:rsidP="1A23D4C7">
            <w:pPr>
              <w:pStyle w:val="TableParagraph"/>
              <w:spacing w:before="100" w:line="256" w:lineRule="auto"/>
              <w:ind w:left="110"/>
              <w:jc w:val="both"/>
            </w:pPr>
            <w:r>
              <w:t>racial steering by real estate brokers</w:t>
            </w:r>
          </w:p>
        </w:tc>
      </w:tr>
      <w:tr w:rsidR="1A23D4C7" w14:paraId="16785AC2" w14:textId="77777777" w:rsidTr="1A23D4C7">
        <w:trPr>
          <w:trHeight w:val="709"/>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51EEE45" w14:textId="77777777" w:rsidR="1A23D4C7" w:rsidRDefault="1A23D4C7" w:rsidP="1A23D4C7">
            <w:pPr>
              <w:pStyle w:val="TableParagraph"/>
              <w:spacing w:before="100" w:line="256" w:lineRule="auto"/>
              <w:ind w:left="110"/>
              <w:jc w:val="both"/>
            </w:pPr>
            <w:r>
              <w:t>wealthier people move away</w:t>
            </w: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EC26466" w14:textId="77777777" w:rsidR="1A23D4C7" w:rsidRDefault="1A23D4C7" w:rsidP="1A23D4C7">
            <w:pPr>
              <w:pStyle w:val="TableParagraph"/>
              <w:spacing w:before="100" w:line="256" w:lineRule="auto"/>
              <w:ind w:left="110" w:right="85"/>
              <w:jc w:val="both"/>
            </w:pPr>
            <w:r>
              <w:t>unconscious racist attitudes-violations of laws not as serious as in “better neighborhoods”</w:t>
            </w:r>
          </w:p>
        </w:tc>
      </w:tr>
      <w:tr w:rsidR="1A23D4C7" w14:paraId="148FEE2C" w14:textId="77777777" w:rsidTr="1A23D4C7">
        <w:trPr>
          <w:trHeight w:val="433"/>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408145B" w14:textId="77777777" w:rsidR="1A23D4C7" w:rsidRDefault="1A23D4C7" w:rsidP="1A23D4C7">
            <w:pPr>
              <w:pStyle w:val="TableParagraph"/>
              <w:spacing w:line="256" w:lineRule="auto"/>
              <w:jc w:val="both"/>
            </w:pP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25BF1A7" w14:textId="77777777" w:rsidR="1A23D4C7" w:rsidRDefault="1A23D4C7" w:rsidP="1A23D4C7">
            <w:pPr>
              <w:pStyle w:val="TableParagraph"/>
              <w:spacing w:before="100" w:line="256" w:lineRule="auto"/>
              <w:ind w:left="110"/>
              <w:jc w:val="both"/>
            </w:pPr>
            <w:r>
              <w:t>“Red-lining” bank lending practices</w:t>
            </w:r>
          </w:p>
        </w:tc>
      </w:tr>
      <w:tr w:rsidR="1A23D4C7" w14:paraId="1849E4F9" w14:textId="77777777" w:rsidTr="1A23D4C7">
        <w:trPr>
          <w:trHeight w:val="414"/>
        </w:trPr>
        <w:tc>
          <w:tcPr>
            <w:tcW w:w="468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00301F4" w14:textId="77777777" w:rsidR="1A23D4C7" w:rsidRDefault="1A23D4C7" w:rsidP="1A23D4C7">
            <w:pPr>
              <w:pStyle w:val="TableParagraph"/>
              <w:spacing w:line="256" w:lineRule="auto"/>
              <w:jc w:val="both"/>
            </w:pPr>
          </w:p>
        </w:tc>
        <w:tc>
          <w:tcPr>
            <w:tcW w:w="39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33D136FD" w14:textId="77777777" w:rsidR="1A23D4C7" w:rsidRDefault="1A23D4C7" w:rsidP="1A23D4C7">
            <w:pPr>
              <w:pStyle w:val="TableParagraph"/>
              <w:spacing w:before="100" w:line="256" w:lineRule="auto"/>
              <w:ind w:left="110"/>
              <w:jc w:val="both"/>
            </w:pPr>
            <w:r>
              <w:t>less mobility in real estate market</w:t>
            </w:r>
          </w:p>
        </w:tc>
      </w:tr>
    </w:tbl>
    <w:p w14:paraId="027AA159" w14:textId="77777777" w:rsidR="0070589C" w:rsidRPr="00C13864" w:rsidRDefault="0070589C" w:rsidP="1A23D4C7">
      <w:pPr>
        <w:pStyle w:val="BodyText"/>
        <w:spacing w:before="1"/>
        <w:ind w:left="270"/>
        <w:jc w:val="both"/>
        <w:rPr>
          <w:b/>
          <w:bCs/>
        </w:rPr>
      </w:pPr>
    </w:p>
    <w:p w14:paraId="2BC94C21" w14:textId="64F6F0FB" w:rsidR="0070589C" w:rsidRPr="00C13864" w:rsidRDefault="0070589C" w:rsidP="1A23D4C7">
      <w:pPr>
        <w:ind w:right="540" w:firstLine="720"/>
        <w:jc w:val="both"/>
        <w:rPr>
          <w:sz w:val="24"/>
          <w:szCs w:val="24"/>
        </w:rPr>
      </w:pPr>
    </w:p>
    <w:p w14:paraId="12CD374C" w14:textId="4438F819" w:rsidR="0070589C" w:rsidRPr="00C13864" w:rsidRDefault="3A95F3E5" w:rsidP="3A95F3E5">
      <w:pPr>
        <w:pStyle w:val="ListParagraph"/>
        <w:numPr>
          <w:ilvl w:val="0"/>
          <w:numId w:val="2"/>
        </w:numPr>
        <w:ind w:right="540"/>
        <w:jc w:val="both"/>
      </w:pPr>
      <w:r w:rsidRPr="3A95F3E5">
        <w:rPr>
          <w:b/>
          <w:bCs/>
          <w:rPrChange w:id="6" w:author="Guest User" w:date="2025-11-30T19:32:00Z" w16du:dateUtc="2025-11-30T19:32:00Z">
            <w:rPr/>
          </w:rPrChange>
        </w:rPr>
        <w:t xml:space="preserve">Market Forces. </w:t>
      </w:r>
      <w:r>
        <w:t xml:space="preserve">Saha and Mohai identify specific market mechanisms </w:t>
      </w:r>
    </w:p>
    <w:p w14:paraId="37157982" w14:textId="5A5AAD75" w:rsidR="0070589C" w:rsidRPr="00C13864" w:rsidRDefault="3A95F3E5" w:rsidP="3A95F3E5">
      <w:pPr>
        <w:ind w:right="540"/>
        <w:jc w:val="both"/>
      </w:pPr>
      <w:r>
        <w:t>including the pursuit of cheap land, path-of-least-resistance siting that avoids communities with resources to mount opposition, and cost-benefit calculations that systematically undervalue harms to low-income communities and communities of color. These race-neutral economic calculations produce racially disparate outcomes because race correlates with property values, political capital, and opposition capacity, meaning rational profit-maximizing decisions will predictably concentrate environmental burdens in minority communities without any actor consciously intending discrimination. Rather than diminishing the case for regulatory intervention, recognizing market forces strengthens it: if unregulated markets systematically produce inequitable outcomes through their normal operation, then intervention is necessary precisely because the problem is structural rather than the product of isolated bad actors who might be deterred through litigation alone.</w:t>
      </w:r>
    </w:p>
    <w:p w14:paraId="63CC689B" w14:textId="7B94CCAE" w:rsidR="0070589C" w:rsidRPr="00C13864" w:rsidRDefault="0070589C" w:rsidP="1A23D4C7">
      <w:pPr>
        <w:pStyle w:val="ListParagraph"/>
        <w:ind w:left="1080" w:right="540"/>
        <w:jc w:val="both"/>
      </w:pPr>
    </w:p>
    <w:p w14:paraId="1EFFBC76" w14:textId="43883FB8" w:rsidR="0070589C" w:rsidRPr="00C13864" w:rsidRDefault="3A95F3E5" w:rsidP="3A95F3E5">
      <w:pPr>
        <w:pStyle w:val="ListParagraph"/>
        <w:numPr>
          <w:ilvl w:val="0"/>
          <w:numId w:val="2"/>
        </w:numPr>
        <w:ind w:right="540"/>
        <w:jc w:val="both"/>
      </w:pPr>
      <w:r w:rsidRPr="3A95F3E5">
        <w:rPr>
          <w:b/>
          <w:bCs/>
          <w:rPrChange w:id="7" w:author="Guest User" w:date="2025-11-30T19:32:00Z" w16du:dateUtc="2025-11-30T19:32:00Z">
            <w:rPr/>
          </w:rPrChange>
        </w:rPr>
        <w:t>Even “green” infrastructure?</w:t>
      </w:r>
      <w:r>
        <w:t xml:space="preserve"> The distribution of renewable energy facilities, </w:t>
      </w:r>
    </w:p>
    <w:p w14:paraId="0B93373F" w14:textId="069000CB" w:rsidR="0070589C" w:rsidRPr="00C13864" w:rsidRDefault="3A95F3E5" w:rsidP="3A95F3E5">
      <w:pPr>
        <w:ind w:right="540"/>
        <w:jc w:val="both"/>
        <w:rPr>
          <w:sz w:val="24"/>
          <w:szCs w:val="24"/>
        </w:rPr>
      </w:pPr>
      <w:r>
        <w:t>e-commerce warehouses serving green consumption, and climate adaptation infrastructure demonstrates that market-driven environmental inequities persist even as the economy transitions toward sustainability. Solar and wind installations concentrate in areas offering cheap land and minimal opposition in the same communities burdened by fossil fuel infrastructure, while warehouse logistics serving online retail cluster near low-income communities of color, bringing diesel truck traffic and air pollution. Climate adaptation investments flow toward high-value properties worth protecting, leaving vulnerable communities exposed. The transition to green infrastructure thus reinforces rather than challenges existing inequality patterns, revealing that the problem was never solely about fossil fuels but about market structures that consistently externalize costs onto communities lacking economic and political power.</w:t>
      </w:r>
    </w:p>
    <w:p w14:paraId="606C5A3D" w14:textId="4A96177B" w:rsidR="0070589C" w:rsidRPr="00C13864" w:rsidRDefault="3A95F3E5" w:rsidP="1A23D4C7">
      <w:pPr>
        <w:pStyle w:val="ListParagraph"/>
        <w:numPr>
          <w:ilvl w:val="0"/>
          <w:numId w:val="2"/>
        </w:numPr>
        <w:ind w:right="540"/>
        <w:jc w:val="both"/>
      </w:pPr>
      <w:r w:rsidRPr="3A95F3E5">
        <w:rPr>
          <w:b/>
          <w:bCs/>
        </w:rPr>
        <w:t xml:space="preserve">Thinking Globally. </w:t>
      </w:r>
      <w:r>
        <w:t xml:space="preserve">Professor Gonzalez’s critique of comparative advantage </w:t>
      </w:r>
    </w:p>
    <w:p w14:paraId="21F3159D" w14:textId="59C81077" w:rsidR="0070589C" w:rsidRPr="00C13864" w:rsidRDefault="1A23D4C7" w:rsidP="1A23D4C7">
      <w:pPr>
        <w:ind w:right="540"/>
        <w:jc w:val="both"/>
      </w:pPr>
      <w:r w:rsidRPr="1A23D4C7">
        <w:t xml:space="preserve">theory extends market forces analysis by showing how international trade regimes disadvantage Indigenous peoples and communities in the Global South through mechanisms parallel to those Saha and Mohai identify domestically. Comparative advantage theory frames specialization as mutually beneficial while obscuring how colonial histories, unequal bargaining power, and structural </w:t>
      </w:r>
      <w:r w:rsidRPr="1A23D4C7">
        <w:lastRenderedPageBreak/>
        <w:t>adjustment policies coerced Mexico into agricultural arrangements that displaced Indigenous farmers and degraded local environments for export production benefiting U.S. consumers. This dynamic complements domestic market forces theory by revealing that environmental injustice operates across scales through interconnected economic structures. These analyses suggest environmental justice requires fundamentally rethinking dominant economic paradigms rather than merely correcting discrete market failures, since the failures are features rather than bugs of systems designed to maximize aggregate wealth without regard for distribution.</w:t>
      </w:r>
    </w:p>
    <w:p w14:paraId="74FC0CDD" w14:textId="28C43A4C" w:rsidR="0070589C" w:rsidRPr="00C13864" w:rsidRDefault="359C5DC0" w:rsidP="1A23D4C7">
      <w:pPr>
        <w:pStyle w:val="ListParagraph"/>
        <w:numPr>
          <w:ilvl w:val="0"/>
          <w:numId w:val="2"/>
        </w:numPr>
        <w:ind w:right="540"/>
        <w:jc w:val="both"/>
      </w:pPr>
      <w:r w:rsidRPr="359C5DC0">
        <w:rPr>
          <w:b/>
          <w:bCs/>
          <w:rPrChange w:id="8" w:author="Guest User" w:date="2025-11-30T19:32:00Z">
            <w:rPr/>
          </w:rPrChange>
        </w:rPr>
        <w:t xml:space="preserve">Market Efficiency v. environmental equity. </w:t>
      </w:r>
      <w:r w:rsidRPr="359C5DC0">
        <w:t xml:space="preserve">Market efficiency and </w:t>
      </w:r>
    </w:p>
    <w:p w14:paraId="76A0E1A3" w14:textId="25F35771" w:rsidR="0070589C" w:rsidRPr="00C13864" w:rsidRDefault="1A23D4C7" w:rsidP="1A23D4C7">
      <w:pPr>
        <w:ind w:right="540"/>
        <w:jc w:val="both"/>
        <w:rPr>
          <w:sz w:val="24"/>
          <w:szCs w:val="24"/>
        </w:rPr>
      </w:pPr>
      <w:r w:rsidRPr="1A23D4C7">
        <w:t>environmental equity align when environmental costs are fully internalized in that polluters pay the true social costs of their activities and when affected communities possess sufficient information and bargaining power to negotiate outcomes reflecting their actual preferences. They necessarily conflict when transaction costs prevent efficient bargaining, when environmental harms are diffuse or latent, when communities lack resources to participate in markets as equals, and when cumulative impacts from individually rational transactions produce collective harms no single actor has incentive to prevent. This tension implies that environmental justice policy cannot rely solely on market correction through pricing mechanisms like pollution taxes but must also include direct regulation, procedural rights ensuring meaningful participation, and redistributive measures addressing the underlying wealth and power disparities that cause markets to disadvantage the same communities. The policy challenge is distinguishing contexts where enabling market function suffices from those requiring market override.</w:t>
      </w:r>
    </w:p>
    <w:p w14:paraId="2CC1F54B" w14:textId="535532F3" w:rsidR="0070589C" w:rsidRPr="00C13864" w:rsidRDefault="0070589C" w:rsidP="3A95F3E5">
      <w:pPr>
        <w:ind w:right="540" w:firstLine="720"/>
        <w:jc w:val="both"/>
        <w:rPr>
          <w:sz w:val="24"/>
          <w:szCs w:val="24"/>
        </w:rPr>
      </w:pPr>
    </w:p>
    <w:p w14:paraId="739B97C4" w14:textId="1F80700E" w:rsidR="0070589C" w:rsidRPr="0014493C" w:rsidRDefault="3A95F3E5" w:rsidP="3A95F3E5">
      <w:pPr>
        <w:kinsoku w:val="0"/>
        <w:overflowPunct w:val="0"/>
        <w:spacing w:before="8"/>
        <w:ind w:right="540" w:firstLine="720"/>
        <w:jc w:val="both"/>
        <w:rPr>
          <w:b/>
          <w:bCs/>
          <w:sz w:val="24"/>
          <w:szCs w:val="24"/>
        </w:rPr>
      </w:pPr>
      <w:r w:rsidRPr="3A95F3E5">
        <w:rPr>
          <w:b/>
          <w:bCs/>
          <w:sz w:val="24"/>
          <w:szCs w:val="24"/>
        </w:rPr>
        <w:t>2. Market Forces and Science</w:t>
      </w:r>
    </w:p>
    <w:p w14:paraId="5B20D2EA" w14:textId="18E54DB0" w:rsidR="0070589C" w:rsidRPr="0014493C" w:rsidRDefault="0070589C" w:rsidP="3A95F3E5">
      <w:pPr>
        <w:kinsoku w:val="0"/>
        <w:overflowPunct w:val="0"/>
        <w:spacing w:before="8"/>
        <w:ind w:right="540" w:firstLine="720"/>
        <w:jc w:val="both"/>
        <w:rPr>
          <w:sz w:val="24"/>
          <w:szCs w:val="24"/>
        </w:rPr>
      </w:pPr>
    </w:p>
    <w:p w14:paraId="2AF6B2D3" w14:textId="7856BFC6" w:rsidR="3A95F3E5" w:rsidRDefault="3A95F3E5" w:rsidP="3A95F3E5">
      <w:pPr>
        <w:ind w:right="540" w:firstLine="720"/>
        <w:jc w:val="both"/>
        <w:rPr>
          <w:sz w:val="24"/>
          <w:szCs w:val="24"/>
        </w:rPr>
      </w:pPr>
    </w:p>
    <w:p w14:paraId="15483D3E" w14:textId="77777777" w:rsidR="0070589C" w:rsidRPr="002D69E9" w:rsidRDefault="0070589C" w:rsidP="0070589C">
      <w:pPr>
        <w:pStyle w:val="Heading1"/>
        <w:kinsoku w:val="0"/>
        <w:overflowPunct w:val="0"/>
        <w:ind w:left="159" w:right="540"/>
        <w:jc w:val="center"/>
        <w:rPr>
          <w:b w:val="0"/>
          <w:bCs w:val="0"/>
        </w:rPr>
      </w:pPr>
      <w:r w:rsidRPr="002D69E9">
        <w:rPr>
          <w:b w:val="0"/>
          <w:bCs w:val="0"/>
        </w:rPr>
        <w:t xml:space="preserve">Brie D. Sherwin, </w:t>
      </w:r>
      <w:r w:rsidRPr="002D69E9">
        <w:rPr>
          <w:b w:val="0"/>
          <w:bCs w:val="0"/>
          <w:i/>
          <w:iCs/>
        </w:rPr>
        <w:t>The Upside Down: A New Reality for Science at the EPA and Its Impact on Environmental Justice</w:t>
      </w:r>
      <w:r w:rsidRPr="002D69E9">
        <w:rPr>
          <w:b w:val="0"/>
          <w:bCs w:val="0"/>
        </w:rPr>
        <w:t xml:space="preserve">, </w:t>
      </w:r>
      <w:r w:rsidRPr="002D69E9">
        <w:rPr>
          <w:b w:val="0"/>
          <w:bCs w:val="0"/>
          <w:smallCaps/>
        </w:rPr>
        <w:t>27 N.Y.U. Envtl. L.J.</w:t>
      </w:r>
      <w:r w:rsidRPr="002D69E9">
        <w:rPr>
          <w:b w:val="0"/>
          <w:bCs w:val="0"/>
        </w:rPr>
        <w:t xml:space="preserve"> 57, 62-70 (2019). </w:t>
      </w:r>
    </w:p>
    <w:p w14:paraId="0F622C06" w14:textId="77777777" w:rsidR="0070589C" w:rsidRPr="00C13864" w:rsidRDefault="0070589C" w:rsidP="0070589C">
      <w:pPr>
        <w:rPr>
          <w:sz w:val="24"/>
          <w:szCs w:val="24"/>
        </w:rPr>
      </w:pPr>
    </w:p>
    <w:p w14:paraId="443F9402" w14:textId="77777777" w:rsidR="0070589C" w:rsidRPr="00C13864" w:rsidRDefault="0070589C" w:rsidP="0070589C">
      <w:pPr>
        <w:jc w:val="center"/>
        <w:rPr>
          <w:b/>
          <w:bCs/>
          <w:i/>
          <w:iCs/>
          <w:sz w:val="24"/>
          <w:szCs w:val="24"/>
        </w:rPr>
      </w:pPr>
      <w:r w:rsidRPr="00C13864">
        <w:rPr>
          <w:b/>
          <w:bCs/>
          <w:i/>
          <w:iCs/>
          <w:sz w:val="24"/>
          <w:szCs w:val="24"/>
        </w:rPr>
        <w:t>Notes and Questions</w:t>
      </w:r>
    </w:p>
    <w:p w14:paraId="561DE28C" w14:textId="77777777" w:rsidR="0070589C" w:rsidRPr="0014493C" w:rsidRDefault="0070589C" w:rsidP="0070589C">
      <w:pPr>
        <w:pStyle w:val="BodyText"/>
        <w:kinsoku w:val="0"/>
        <w:overflowPunct w:val="0"/>
        <w:spacing w:before="8"/>
        <w:jc w:val="both"/>
      </w:pPr>
    </w:p>
    <w:p w14:paraId="160A7824" w14:textId="48192C40" w:rsidR="359C5DC0" w:rsidRDefault="359C5DC0" w:rsidP="359C5DC0">
      <w:pPr>
        <w:ind w:right="540"/>
        <w:rPr>
          <w:b/>
          <w:bCs/>
          <w:sz w:val="24"/>
          <w:szCs w:val="24"/>
        </w:rPr>
      </w:pPr>
    </w:p>
    <w:p w14:paraId="36450718" w14:textId="218AC53E" w:rsidR="359C5DC0" w:rsidRDefault="3A95F3E5" w:rsidP="359C5DC0">
      <w:pPr>
        <w:pStyle w:val="ListParagraph"/>
        <w:numPr>
          <w:ilvl w:val="0"/>
          <w:numId w:val="1"/>
        </w:numPr>
      </w:pPr>
      <w:r w:rsidRPr="3A95F3E5">
        <w:rPr>
          <w:rFonts w:eastAsia="Times New Roman"/>
          <w:b/>
          <w:bCs/>
        </w:rPr>
        <w:t xml:space="preserve">Undermining science. </w:t>
      </w:r>
      <w:r>
        <w:t xml:space="preserve">When politicians question scientific findings on environmental </w:t>
      </w:r>
    </w:p>
    <w:p w14:paraId="1289E5E5" w14:textId="50D2B26C" w:rsidR="359C5DC0" w:rsidRDefault="3A95F3E5" w:rsidP="359C5DC0">
      <w:pPr>
        <w:pStyle w:val="ListParagraph"/>
        <w:ind w:left="0" w:firstLine="0"/>
      </w:pPr>
      <w:r>
        <w:t>risks, the overlooked harms include cumulative pollution exposures in overburdened communities, long-latency health effects like cancers and developmental disorders, and synergistic impacts from multiple contaminants that individually fall below regulatory thresholds but collectively cause significant harm. Environmental justice communities bear the brunt of this willful ignorance because they lack the political power to demand precautionary action when scientific certainty becomes the prerequisite for regulatory response.</w:t>
      </w:r>
    </w:p>
    <w:p w14:paraId="3764A52D" w14:textId="5756B52F" w:rsidR="359C5DC0" w:rsidRDefault="3A95F3E5" w:rsidP="359C5DC0">
      <w:pPr>
        <w:pStyle w:val="ListParagraph"/>
        <w:numPr>
          <w:ilvl w:val="0"/>
          <w:numId w:val="1"/>
        </w:numPr>
      </w:pPr>
      <w:r w:rsidRPr="3A95F3E5">
        <w:rPr>
          <w:rFonts w:eastAsia="Times New Roman"/>
          <w:b/>
          <w:bCs/>
        </w:rPr>
        <w:t>Doubt.</w:t>
      </w:r>
      <w:r w:rsidRPr="3A95F3E5">
        <w:rPr>
          <w:rFonts w:eastAsia="Times New Roman"/>
        </w:rPr>
        <w:t xml:space="preserve"> </w:t>
      </w:r>
      <w:r>
        <w:t xml:space="preserve">Manufactured doubt undermines environmental compliance and enforcement by </w:t>
      </w:r>
    </w:p>
    <w:p w14:paraId="782C9E94" w14:textId="6EE6CAF1" w:rsidR="359C5DC0" w:rsidRDefault="3A95F3E5" w:rsidP="359C5DC0">
      <w:pPr>
        <w:pStyle w:val="ListParagraph"/>
        <w:ind w:left="0" w:firstLine="0"/>
        <w:rPr>
          <w:rFonts w:eastAsia="Times New Roman"/>
        </w:rPr>
      </w:pPr>
      <w:r>
        <w:t>providing regulated industries with rhetorical cover to delay action, by giving political actors justification to weaken standards or reduce agency budgets, and by shifting public perception so that regulatory protection appears optional rather than necessary. This doubt asymmetrically harms environmental justice communities because they depend most heavily on robust public enforcement, lacking resources for private litigation or relocation, and because uncertainty tends to be resolved in favor of continued exposure rather than precaution.</w:t>
      </w:r>
    </w:p>
    <w:p w14:paraId="47AEF35E" w14:textId="49218FD6" w:rsidR="359C5DC0" w:rsidRDefault="359C5DC0" w:rsidP="359C5DC0">
      <w:pPr>
        <w:ind w:right="540" w:firstLine="720"/>
        <w:jc w:val="both"/>
        <w:rPr>
          <w:sz w:val="24"/>
          <w:szCs w:val="24"/>
        </w:rPr>
      </w:pPr>
    </w:p>
    <w:p w14:paraId="5BB8668F" w14:textId="126B8027" w:rsidR="359C5DC0" w:rsidRDefault="3A95F3E5" w:rsidP="3A95F3E5">
      <w:pPr>
        <w:pStyle w:val="ListParagraph"/>
        <w:numPr>
          <w:ilvl w:val="0"/>
          <w:numId w:val="1"/>
        </w:numPr>
        <w:ind w:right="540"/>
        <w:jc w:val="both"/>
      </w:pPr>
      <w:r>
        <w:t>Post-Siting Changes</w:t>
      </w:r>
    </w:p>
    <w:p w14:paraId="65872198" w14:textId="77777777" w:rsidR="0070589C" w:rsidRPr="0014493C" w:rsidRDefault="0070589C" w:rsidP="0070589C">
      <w:pPr>
        <w:pStyle w:val="Heading1"/>
        <w:kinsoku w:val="0"/>
        <w:overflowPunct w:val="0"/>
        <w:ind w:left="159"/>
        <w:jc w:val="both"/>
      </w:pPr>
    </w:p>
    <w:p w14:paraId="0C20A242" w14:textId="77777777" w:rsidR="0070589C" w:rsidRPr="00C13864" w:rsidRDefault="0070589C" w:rsidP="0070589C">
      <w:pPr>
        <w:ind w:right="540"/>
        <w:jc w:val="center"/>
        <w:rPr>
          <w:sz w:val="24"/>
          <w:szCs w:val="24"/>
        </w:rPr>
      </w:pPr>
      <w:r w:rsidRPr="00C13864">
        <w:rPr>
          <w:sz w:val="24"/>
          <w:szCs w:val="24"/>
        </w:rPr>
        <w:t xml:space="preserve">Vicki Been, </w:t>
      </w:r>
      <w:r w:rsidRPr="00C13864">
        <w:rPr>
          <w:i/>
          <w:iCs/>
          <w:sz w:val="24"/>
          <w:szCs w:val="24"/>
        </w:rPr>
        <w:t>Locally Undesirable Land Uses in Minority Neighborhoods: Disproportionate Siting or Market Dynamics?</w:t>
      </w:r>
      <w:r w:rsidRPr="00C13864">
        <w:rPr>
          <w:sz w:val="24"/>
          <w:szCs w:val="24"/>
        </w:rPr>
        <w:t xml:space="preserve">, 103 </w:t>
      </w:r>
      <w:r w:rsidRPr="00C13864">
        <w:rPr>
          <w:smallCaps/>
          <w:sz w:val="24"/>
          <w:szCs w:val="24"/>
        </w:rPr>
        <w:t>Yale L.J. 1383, 1384-1395</w:t>
      </w:r>
      <w:r w:rsidRPr="00C13864">
        <w:rPr>
          <w:sz w:val="24"/>
          <w:szCs w:val="24"/>
        </w:rPr>
        <w:t xml:space="preserve"> (1994).</w:t>
      </w:r>
    </w:p>
    <w:p w14:paraId="5AFD6FE1" w14:textId="77777777" w:rsidR="0070589C" w:rsidRDefault="0070589C" w:rsidP="0070589C">
      <w:pPr>
        <w:jc w:val="center"/>
      </w:pPr>
    </w:p>
    <w:p w14:paraId="415A9540" w14:textId="1837F325" w:rsidR="0070589C" w:rsidRPr="00641465" w:rsidRDefault="359C5DC0" w:rsidP="359C5DC0">
      <w:pPr>
        <w:jc w:val="center"/>
        <w:rPr>
          <w:b/>
          <w:bCs/>
          <w:i/>
          <w:iCs/>
          <w:sz w:val="28"/>
          <w:szCs w:val="28"/>
        </w:rPr>
      </w:pPr>
      <w:r w:rsidRPr="359C5DC0">
        <w:rPr>
          <w:b/>
          <w:bCs/>
          <w:i/>
          <w:iCs/>
          <w:sz w:val="28"/>
          <w:szCs w:val="28"/>
        </w:rPr>
        <w:t>Notes and Questions</w:t>
      </w:r>
    </w:p>
    <w:p w14:paraId="54F14E2A" w14:textId="64E1D8E9" w:rsidR="359C5DC0" w:rsidRDefault="3A95F3E5" w:rsidP="359C5DC0">
      <w:pPr>
        <w:spacing w:before="240" w:after="240"/>
        <w:ind w:firstLine="720"/>
        <w:rPr>
          <w:rFonts w:eastAsia="Times New Roman"/>
          <w:sz w:val="24"/>
          <w:szCs w:val="24"/>
        </w:rPr>
      </w:pPr>
      <w:r w:rsidRPr="3A95F3E5">
        <w:rPr>
          <w:rFonts w:eastAsia="Times New Roman"/>
          <w:b/>
          <w:bCs/>
          <w:sz w:val="24"/>
          <w:szCs w:val="24"/>
        </w:rPr>
        <w:t xml:space="preserve">1. Climate havens. </w:t>
      </w:r>
      <w:r w:rsidRPr="3A95F3E5">
        <w:rPr>
          <w:rFonts w:eastAsia="Times New Roman"/>
          <w:sz w:val="24"/>
          <w:szCs w:val="24"/>
        </w:rPr>
        <w:t>Climate haven migration extends Been’s market dynamics theory in a troubling new direction: rather than minorities moving toward existing hazards due to depressed property values, we now see affluent residents moving toward climate safety while those lacking resources remain trapped in increasingly vulnerable areas. This represents market dynamics working as Been predicted, demographic sorting driven by property values and mobility, but operating on future climate projections rather than existing LULUs. The phenomenon transcends the original chicken-or-egg framework because it suggests environmental inequality can emerge purely from differential capacity to respond to anticipated risk, without any discriminatory siting decision as a predicate.</w:t>
      </w:r>
    </w:p>
    <w:p w14:paraId="715C96BC" w14:textId="315E84F5" w:rsidR="359C5DC0" w:rsidRDefault="3A95F3E5" w:rsidP="359C5DC0">
      <w:pPr>
        <w:spacing w:before="240" w:after="240"/>
        <w:ind w:firstLine="720"/>
        <w:rPr>
          <w:rFonts w:eastAsia="Times New Roman"/>
          <w:sz w:val="24"/>
          <w:szCs w:val="24"/>
        </w:rPr>
      </w:pPr>
      <w:r w:rsidRPr="3A95F3E5">
        <w:rPr>
          <w:rFonts w:eastAsia="Times New Roman"/>
          <w:b/>
          <w:bCs/>
          <w:sz w:val="24"/>
          <w:szCs w:val="24"/>
        </w:rPr>
        <w:t xml:space="preserve">2. Climate redlining. </w:t>
      </w:r>
      <w:r w:rsidRPr="3A95F3E5">
        <w:rPr>
          <w:rFonts w:eastAsia="Times New Roman"/>
          <w:sz w:val="24"/>
          <w:szCs w:val="24"/>
        </w:rPr>
        <w:t>Climate redlining reveals how historical discrimination and contemporary market mechanisms are inseparable: insurance and lending restrictions based on climate risk data concentrate in historically redlined areas precisely because past disinvestment created the physical vulnerability, aging infrastructure, lack of green space, flood-prone development, that algorithms now quantify. This development is both continuation and transformation of discriminatory market practices, as facially neutral climate data launders the effects of past redlining into present exclusion without requiring any actor to consciously discriminate.</w:t>
      </w:r>
    </w:p>
    <w:p w14:paraId="7CC13C58" w14:textId="7CBA75D3" w:rsidR="359C5DC0" w:rsidRDefault="3A95F3E5" w:rsidP="3A95F3E5">
      <w:pPr>
        <w:spacing w:before="240" w:after="240"/>
        <w:ind w:firstLine="720"/>
        <w:rPr>
          <w:rFonts w:eastAsia="Times New Roman"/>
          <w:sz w:val="24"/>
          <w:szCs w:val="24"/>
        </w:rPr>
      </w:pPr>
      <w:r w:rsidRPr="3A95F3E5">
        <w:rPr>
          <w:rFonts w:eastAsia="Times New Roman"/>
          <w:b/>
          <w:bCs/>
          <w:sz w:val="24"/>
          <w:szCs w:val="24"/>
        </w:rPr>
        <w:t xml:space="preserve">3. The rise of AI. </w:t>
      </w:r>
      <w:r w:rsidRPr="3A95F3E5">
        <w:rPr>
          <w:rFonts w:eastAsia="Times New Roman"/>
          <w:sz w:val="24"/>
          <w:szCs w:val="24"/>
        </w:rPr>
        <w:t>Algorithmic decision-making destabilizes Been’s market dynamics framework by replacing rational actors responding to observable conditions with automated systems encoding historical inequities into seemingly objective outputs. AI-driven valuations trained on discriminatory lending patterns will systematically undervalue properties in communities of color, directing investment elsewhere through mechanisms that appear neutral but reproduce past discrimination at scale, making it impossible to distinguish market dynamics from discrimination when the market itself operates through biased algorithms.</w:t>
      </w:r>
    </w:p>
    <w:p w14:paraId="4C19F00F" w14:textId="4DF3608C" w:rsidR="0070589C" w:rsidRPr="00C3365C" w:rsidRDefault="0070589C" w:rsidP="3A95F3E5">
      <w:pPr>
        <w:pStyle w:val="BodyText"/>
        <w:kinsoku w:val="0"/>
        <w:overflowPunct w:val="0"/>
        <w:ind w:right="540" w:firstLine="720"/>
      </w:pPr>
      <w:bookmarkStart w:id="9" w:name="Page_28"/>
      <w:bookmarkEnd w:id="9"/>
    </w:p>
    <w:p w14:paraId="1A1B5FC5" w14:textId="590E3727" w:rsidR="0070589C" w:rsidRPr="00C3365C" w:rsidRDefault="3A95F3E5" w:rsidP="3A95F3E5">
      <w:pPr>
        <w:pStyle w:val="Heading1"/>
        <w:tabs>
          <w:tab w:val="left" w:pos="514"/>
        </w:tabs>
        <w:kinsoku w:val="0"/>
        <w:overflowPunct w:val="0"/>
        <w:spacing w:before="1"/>
        <w:ind w:left="513" w:hanging="353"/>
        <w:jc w:val="both"/>
      </w:pPr>
      <w:r>
        <w:t>D. Politics and Social Capital</w:t>
      </w:r>
    </w:p>
    <w:p w14:paraId="2735C6C2" w14:textId="77777777" w:rsidR="0070589C" w:rsidRPr="00C3365C" w:rsidRDefault="0070589C" w:rsidP="0070589C">
      <w:pPr>
        <w:pStyle w:val="BodyText"/>
        <w:kinsoku w:val="0"/>
        <w:overflowPunct w:val="0"/>
        <w:jc w:val="both"/>
        <w:rPr>
          <w:b/>
          <w:bCs/>
        </w:rPr>
      </w:pPr>
    </w:p>
    <w:p w14:paraId="5516D12C" w14:textId="77777777" w:rsidR="0070589C" w:rsidRDefault="359C5DC0" w:rsidP="0070589C">
      <w:pPr>
        <w:pStyle w:val="BodyText"/>
        <w:kinsoku w:val="0"/>
        <w:overflowPunct w:val="0"/>
        <w:ind w:right="540"/>
        <w:jc w:val="center"/>
      </w:pPr>
      <w:r>
        <w:t xml:space="preserve">Manuel Pastor Jr., Jim Sadd &amp; John Hipp, </w:t>
      </w:r>
      <w:r w:rsidRPr="359C5DC0">
        <w:rPr>
          <w:i/>
          <w:iCs/>
        </w:rPr>
        <w:t>Which Came First? Toxic Facilities, Minority Move-In, and Environmental Justice</w:t>
      </w:r>
      <w:r>
        <w:t xml:space="preserve">, </w:t>
      </w:r>
      <w:r w:rsidRPr="359C5DC0">
        <w:rPr>
          <w:smallCaps/>
        </w:rPr>
        <w:t>23 J. Urban Affairs 1</w:t>
      </w:r>
      <w:r>
        <w:t>, 3-19 (2001).</w:t>
      </w:r>
    </w:p>
    <w:p w14:paraId="01FBE817" w14:textId="27E6456E" w:rsidR="359C5DC0" w:rsidRDefault="359C5DC0" w:rsidP="359C5DC0">
      <w:pPr>
        <w:pStyle w:val="BodyText"/>
        <w:ind w:right="540"/>
        <w:jc w:val="center"/>
      </w:pPr>
    </w:p>
    <w:p w14:paraId="51122249" w14:textId="6472ED7A" w:rsidR="359C5DC0" w:rsidRDefault="359C5DC0" w:rsidP="359C5DC0">
      <w:pPr>
        <w:pStyle w:val="BodyText"/>
        <w:numPr>
          <w:ilvl w:val="0"/>
          <w:numId w:val="4"/>
        </w:numPr>
        <w:ind w:right="540"/>
        <w:rPr>
          <w:b/>
          <w:bCs/>
        </w:rPr>
      </w:pPr>
      <w:r w:rsidRPr="359C5DC0">
        <w:rPr>
          <w:b/>
          <w:bCs/>
        </w:rPr>
        <w:t>Racial Discrimination</w:t>
      </w:r>
    </w:p>
    <w:p w14:paraId="11935F7A" w14:textId="089A9306" w:rsidR="359C5DC0" w:rsidRDefault="359C5DC0" w:rsidP="359C5DC0">
      <w:pPr>
        <w:pStyle w:val="BodyText"/>
        <w:ind w:right="540"/>
      </w:pPr>
    </w:p>
    <w:p w14:paraId="2C23F7EB" w14:textId="5A2F944E" w:rsidR="359C5DC0" w:rsidRDefault="359C5DC0" w:rsidP="359C5DC0">
      <w:pPr>
        <w:pStyle w:val="BodyText"/>
        <w:ind w:right="540"/>
        <w:jc w:val="center"/>
      </w:pPr>
      <w:r>
        <w:t xml:space="preserve">Shelly Taylor Page &amp; Patricia A. Broussard, </w:t>
      </w:r>
      <w:r w:rsidRPr="359C5DC0">
        <w:rPr>
          <w:i/>
          <w:iCs/>
        </w:rPr>
        <w:t xml:space="preserve">Environmental Racism in America: Minority Communities As Dumping Grounds for Environmental Waste, </w:t>
      </w:r>
      <w:r>
        <w:t>49 S. ILL. U. L.J. 199 (2025)</w:t>
      </w:r>
    </w:p>
    <w:p w14:paraId="75BB42A0" w14:textId="51A9DF52" w:rsidR="359C5DC0" w:rsidRDefault="359C5DC0" w:rsidP="359C5DC0">
      <w:pPr>
        <w:pStyle w:val="BodyText"/>
        <w:ind w:right="540"/>
      </w:pPr>
    </w:p>
    <w:p w14:paraId="676376E0" w14:textId="77777777" w:rsidR="0070589C" w:rsidRDefault="0070589C" w:rsidP="0070589C">
      <w:pPr>
        <w:pStyle w:val="BodyText"/>
        <w:kinsoku w:val="0"/>
        <w:overflowPunct w:val="0"/>
        <w:jc w:val="center"/>
      </w:pPr>
    </w:p>
    <w:p w14:paraId="6DD44CCF" w14:textId="77777777" w:rsidR="0070589C" w:rsidRPr="00970832" w:rsidRDefault="0070589C" w:rsidP="0070589C">
      <w:pPr>
        <w:pStyle w:val="BodyText"/>
        <w:kinsoku w:val="0"/>
        <w:overflowPunct w:val="0"/>
        <w:jc w:val="center"/>
        <w:rPr>
          <w:b/>
          <w:bCs/>
          <w:i/>
          <w:iCs/>
          <w:sz w:val="28"/>
          <w:szCs w:val="28"/>
        </w:rPr>
      </w:pPr>
      <w:r w:rsidRPr="00970832">
        <w:rPr>
          <w:b/>
          <w:bCs/>
          <w:i/>
          <w:iCs/>
          <w:sz w:val="28"/>
          <w:szCs w:val="28"/>
        </w:rPr>
        <w:t>Notes and Questions</w:t>
      </w:r>
    </w:p>
    <w:p w14:paraId="04938E73" w14:textId="77777777" w:rsidR="0070589C" w:rsidRPr="000110D8" w:rsidRDefault="0070589C" w:rsidP="0070589C">
      <w:pPr>
        <w:pStyle w:val="BodyText"/>
        <w:kinsoku w:val="0"/>
        <w:overflowPunct w:val="0"/>
        <w:jc w:val="center"/>
      </w:pPr>
    </w:p>
    <w:p w14:paraId="2BCC7EF6" w14:textId="0153B71C" w:rsidR="0070589C" w:rsidRPr="006158B8" w:rsidRDefault="0070589C" w:rsidP="359C5DC0">
      <w:pPr>
        <w:tabs>
          <w:tab w:val="left" w:pos="880"/>
        </w:tabs>
        <w:kinsoku w:val="0"/>
        <w:overflowPunct w:val="0"/>
        <w:spacing w:before="60"/>
        <w:jc w:val="both"/>
        <w:rPr>
          <w:sz w:val="24"/>
          <w:szCs w:val="24"/>
        </w:rPr>
      </w:pPr>
      <w:r>
        <w:rPr>
          <w:b/>
          <w:bCs/>
        </w:rPr>
        <w:tab/>
      </w:r>
      <w:r w:rsidRPr="006158B8">
        <w:rPr>
          <w:b/>
          <w:bCs/>
          <w:sz w:val="24"/>
          <w:szCs w:val="24"/>
        </w:rPr>
        <w:t>1.</w:t>
      </w:r>
      <w:r w:rsidRPr="359C5DC0">
        <w:rPr>
          <w:b/>
          <w:bCs/>
          <w:sz w:val="24"/>
          <w:szCs w:val="24"/>
        </w:rPr>
        <w:t xml:space="preserve"> Intentional v. Unintentional. </w:t>
      </w:r>
      <w:r w:rsidR="359C5DC0" w:rsidRPr="359C5DC0">
        <w:rPr>
          <w:rFonts w:eastAsia="Times New Roman"/>
          <w:sz w:val="24"/>
          <w:szCs w:val="24"/>
        </w:rPr>
        <w:t xml:space="preserve">Chavis’s requirement of deliberate targeting aligns with intentional discrimination standards under equal protection doctrine, which demands proof of discriminatory purpose, advantageous for establishing clear liability but nearly impossible to prove absent explicit statements of racial animus. Bullard’s inclusion of unintentional effects supports disparate impact analysis, which requires only showing that facially neutral policies produced racially disproportionate outcomes, easier to prove statistically but vulnerable after cases like </w:t>
      </w:r>
      <w:r w:rsidR="359C5DC0" w:rsidRPr="359C5DC0">
        <w:rPr>
          <w:rFonts w:eastAsia="Times New Roman"/>
          <w:i/>
          <w:iCs/>
          <w:sz w:val="24"/>
          <w:szCs w:val="24"/>
        </w:rPr>
        <w:t>Alexander v. Sandoval</w:t>
      </w:r>
      <w:r w:rsidR="359C5DC0" w:rsidRPr="359C5DC0">
        <w:rPr>
          <w:rFonts w:eastAsia="Times New Roman"/>
          <w:sz w:val="24"/>
          <w:szCs w:val="24"/>
        </w:rPr>
        <w:t xml:space="preserve"> limited private enforcement of disparate impact claims. The definitional divide reflects whether environmental racism requires racist actors or merely racist outcomes, with profound implications for both litigation strategy and policy design.</w:t>
      </w:r>
    </w:p>
    <w:p w14:paraId="5F2F6B26" w14:textId="77777777" w:rsidR="0070589C" w:rsidRPr="006158B8" w:rsidRDefault="0070589C" w:rsidP="0070589C">
      <w:pPr>
        <w:tabs>
          <w:tab w:val="left" w:pos="880"/>
        </w:tabs>
        <w:kinsoku w:val="0"/>
        <w:overflowPunct w:val="0"/>
        <w:spacing w:before="60"/>
        <w:jc w:val="both"/>
        <w:rPr>
          <w:sz w:val="24"/>
          <w:szCs w:val="24"/>
        </w:rPr>
      </w:pPr>
    </w:p>
    <w:p w14:paraId="392E6B18" w14:textId="2B3157AD" w:rsidR="0070589C" w:rsidRPr="006158B8" w:rsidRDefault="0070589C" w:rsidP="359C5DC0">
      <w:pPr>
        <w:tabs>
          <w:tab w:val="left" w:pos="880"/>
        </w:tabs>
        <w:kinsoku w:val="0"/>
        <w:overflowPunct w:val="0"/>
        <w:spacing w:before="60"/>
        <w:jc w:val="both"/>
        <w:rPr>
          <w:sz w:val="24"/>
          <w:szCs w:val="24"/>
        </w:rPr>
      </w:pPr>
      <w:r w:rsidRPr="006158B8">
        <w:rPr>
          <w:b/>
          <w:bCs/>
          <w:sz w:val="24"/>
          <w:szCs w:val="24"/>
        </w:rPr>
        <w:tab/>
        <w:t>2.</w:t>
      </w:r>
      <w:r w:rsidRPr="006158B8">
        <w:rPr>
          <w:sz w:val="24"/>
          <w:szCs w:val="24"/>
        </w:rPr>
        <w:t xml:space="preserve"> </w:t>
      </w:r>
      <w:r w:rsidRPr="359C5DC0">
        <w:rPr>
          <w:b/>
          <w:bCs/>
          <w:sz w:val="24"/>
          <w:szCs w:val="24"/>
        </w:rPr>
        <w:t xml:space="preserve">Passage of Time. </w:t>
      </w:r>
      <w:r w:rsidR="359C5DC0" w:rsidRPr="359C5DC0">
        <w:rPr>
          <w:rFonts w:eastAsia="Times New Roman"/>
          <w:sz w:val="24"/>
          <w:szCs w:val="24"/>
        </w:rPr>
        <w:t>Temporal causation challenges arise because courts typically require proximate cause connecting defendant conduct to plaintiff harm, yet redlining's effects persist through property values, infrastructure deficits, and zoning patterns that continue channeling hazards toward historically segregated communities decades later. Pastor, Sadd, and Hipp's empirical work demonstrating that minority communities existed before toxic facilities arrived strengthens the causal chain by showing discriminatory siting targeted existing communities rather than markets sorting populations post-siting. Courts should recognize that where discriminatory structures remain operative—continuing to shape where pollution concentrates—the passage of time does not break causation but merely obscures it.</w:t>
      </w:r>
    </w:p>
    <w:p w14:paraId="44CF4CD6" w14:textId="77777777" w:rsidR="0070589C" w:rsidRPr="006158B8" w:rsidRDefault="0070589C" w:rsidP="0070589C">
      <w:pPr>
        <w:tabs>
          <w:tab w:val="left" w:pos="880"/>
        </w:tabs>
        <w:kinsoku w:val="0"/>
        <w:overflowPunct w:val="0"/>
        <w:spacing w:before="60"/>
        <w:jc w:val="both"/>
        <w:rPr>
          <w:sz w:val="24"/>
          <w:szCs w:val="24"/>
        </w:rPr>
      </w:pPr>
    </w:p>
    <w:p w14:paraId="006F73C1" w14:textId="6D6C7F50" w:rsidR="0070589C" w:rsidRPr="006158B8" w:rsidRDefault="0070589C" w:rsidP="359C5DC0">
      <w:pPr>
        <w:tabs>
          <w:tab w:val="left" w:pos="880"/>
        </w:tabs>
        <w:kinsoku w:val="0"/>
        <w:overflowPunct w:val="0"/>
        <w:spacing w:before="60"/>
        <w:jc w:val="both"/>
        <w:rPr>
          <w:sz w:val="24"/>
          <w:szCs w:val="24"/>
        </w:rPr>
      </w:pPr>
      <w:r w:rsidRPr="006158B8">
        <w:rPr>
          <w:b/>
          <w:bCs/>
          <w:sz w:val="24"/>
          <w:szCs w:val="24"/>
        </w:rPr>
        <w:tab/>
        <w:t xml:space="preserve"> 3. Systematic Forces. </w:t>
      </w:r>
      <w:r w:rsidR="359C5DC0" w:rsidRPr="359C5DC0">
        <w:rPr>
          <w:rFonts w:eastAsia="Times New Roman"/>
          <w:sz w:val="24"/>
          <w:szCs w:val="24"/>
        </w:rPr>
        <w:t>Traditional tort causation requires identifying specific acts by specific defendants causing specific harms, but systemic environmental injustice emerges from the cumulative interaction of zoning, permitting, enforcement, and investment decisions across multiple agencies and decades without any single decision being independently sufficient or provably discriminatory. Recognizing systemic causation would require shifting from but-for analysis of discrete acts to pattern evidence demonstrating that institutional structures predictably and systematically channeled environmental burdens toward communities of color. This doctrinal evolution is necessary because demanding proof of intent or proximate cause for each decisional link immunizes precisely those forms of structural discrimination that operate through bureaucratic routine rather than conscious malice.</w:t>
      </w:r>
    </w:p>
    <w:p w14:paraId="6D2F1A09" w14:textId="77777777" w:rsidR="0070589C" w:rsidRPr="006158B8" w:rsidRDefault="0070589C" w:rsidP="0070589C">
      <w:pPr>
        <w:pStyle w:val="BodyText"/>
        <w:kinsoku w:val="0"/>
        <w:overflowPunct w:val="0"/>
        <w:spacing w:before="7"/>
        <w:jc w:val="both"/>
        <w:rPr>
          <w:b/>
          <w:bCs/>
        </w:rPr>
      </w:pPr>
    </w:p>
    <w:p w14:paraId="5B705441" w14:textId="77777777" w:rsidR="0070589C" w:rsidRPr="006158B8" w:rsidRDefault="0070589C" w:rsidP="0070589C">
      <w:pPr>
        <w:tabs>
          <w:tab w:val="left" w:pos="880"/>
        </w:tabs>
        <w:kinsoku w:val="0"/>
        <w:overflowPunct w:val="0"/>
        <w:spacing w:before="195"/>
        <w:ind w:right="540"/>
        <w:jc w:val="both"/>
        <w:rPr>
          <w:sz w:val="24"/>
          <w:szCs w:val="24"/>
        </w:rPr>
      </w:pPr>
      <w:r w:rsidRPr="006158B8">
        <w:rPr>
          <w:sz w:val="24"/>
          <w:szCs w:val="24"/>
        </w:rPr>
        <w:tab/>
        <w:t>We have found that students often have strong views about the reasons that provisions in mainstream environmental law have not focused on environmental justice issues. Not having adequate representation in the decision-making process disproportionately impacts poor people and communities of color. Mainstream groups and environmental justice organizations vary in experience and perspective. Many mainstream groups traditionally have focused on aesthetic, recreational, and biological issues (although some also have worked on pollution and public health issues as well). For many staff in environmental organizations, environmentalism represents a professional career opportunity. By contrast, members of gras</w:t>
      </w:r>
      <w:r>
        <w:rPr>
          <w:sz w:val="24"/>
          <w:szCs w:val="24"/>
        </w:rPr>
        <w:t>s</w:t>
      </w:r>
      <w:r w:rsidRPr="006158B8">
        <w:rPr>
          <w:sz w:val="24"/>
          <w:szCs w:val="24"/>
        </w:rPr>
        <w:t xml:space="preserve">roots organizations are often fighting to protect their home, </w:t>
      </w:r>
      <w:r w:rsidRPr="006158B8">
        <w:rPr>
          <w:sz w:val="24"/>
          <w:szCs w:val="24"/>
        </w:rPr>
        <w:lastRenderedPageBreak/>
        <w:t>health, or neighborhood; they have a very immediate stake in the issues confronting them. Mainstream environmental groups traditionally have been (and still are) largely white; grassroots organizations, by contrast, are often led by women and are composed to a far greater degree of working-class members, and people of color. Environmental justice groups also have much more of a social justice orientation, a lack of faith in</w:t>
      </w:r>
      <w:r w:rsidRPr="006158B8">
        <w:rPr>
          <w:spacing w:val="-34"/>
          <w:sz w:val="24"/>
          <w:szCs w:val="24"/>
        </w:rPr>
        <w:t xml:space="preserve"> </w:t>
      </w:r>
      <w:r w:rsidRPr="006158B8">
        <w:rPr>
          <w:sz w:val="24"/>
          <w:szCs w:val="24"/>
        </w:rPr>
        <w:t>government, and a belief in the need for structural societal</w:t>
      </w:r>
      <w:r w:rsidRPr="006158B8">
        <w:rPr>
          <w:spacing w:val="-3"/>
          <w:sz w:val="24"/>
          <w:szCs w:val="24"/>
        </w:rPr>
        <w:t xml:space="preserve"> </w:t>
      </w:r>
      <w:r w:rsidRPr="006158B8">
        <w:rPr>
          <w:sz w:val="24"/>
          <w:szCs w:val="24"/>
        </w:rPr>
        <w:t>change.</w:t>
      </w:r>
      <w:r>
        <w:rPr>
          <w:sz w:val="24"/>
          <w:szCs w:val="24"/>
        </w:rPr>
        <w:t xml:space="preserve"> </w:t>
      </w:r>
    </w:p>
    <w:p w14:paraId="1EDD37D5" w14:textId="581EE4C1" w:rsidR="0070589C" w:rsidRPr="00C13864" w:rsidRDefault="0070589C" w:rsidP="3A95F3E5">
      <w:pPr>
        <w:pStyle w:val="BodyText"/>
        <w:kinsoku w:val="0"/>
        <w:overflowPunct w:val="0"/>
        <w:jc w:val="both"/>
        <w:sectPr w:rsidR="0070589C" w:rsidRPr="00C13864" w:rsidSect="00B35D9A">
          <w:headerReference w:type="default" r:id="rId15"/>
          <w:pgSz w:w="12240" w:h="15840"/>
          <w:pgMar w:top="1440" w:right="1440" w:bottom="1440" w:left="1440" w:header="218" w:footer="1353" w:gutter="0"/>
          <w:cols w:space="720"/>
        </w:sectPr>
      </w:pPr>
      <w:bookmarkStart w:id="10" w:name="Page_29"/>
      <w:bookmarkEnd w:id="10"/>
    </w:p>
    <w:p w14:paraId="27B3A9D1" w14:textId="77777777" w:rsidR="0070589C" w:rsidRPr="00C3365C" w:rsidRDefault="0070589C" w:rsidP="0070589C">
      <w:pPr>
        <w:pStyle w:val="BodyText"/>
        <w:kinsoku w:val="0"/>
        <w:overflowPunct w:val="0"/>
        <w:spacing w:before="9"/>
        <w:jc w:val="both"/>
      </w:pPr>
    </w:p>
    <w:p w14:paraId="32867CAF" w14:textId="77777777" w:rsidR="0070589C" w:rsidRPr="00C3365C" w:rsidRDefault="0070589C" w:rsidP="0070589C">
      <w:pPr>
        <w:pStyle w:val="Heading1"/>
        <w:kinsoku w:val="0"/>
        <w:overflowPunct w:val="0"/>
        <w:spacing w:before="58"/>
        <w:ind w:left="3584"/>
        <w:jc w:val="both"/>
      </w:pPr>
      <w:bookmarkStart w:id="11" w:name="Page_31"/>
      <w:bookmarkEnd w:id="11"/>
      <w:r w:rsidRPr="00C3365C">
        <w:t>Sabretooth Hypothetical</w:t>
      </w:r>
    </w:p>
    <w:p w14:paraId="6C6A2388" w14:textId="77777777" w:rsidR="0070589C" w:rsidRPr="00C3365C" w:rsidRDefault="0070589C" w:rsidP="0070589C">
      <w:pPr>
        <w:pStyle w:val="BodyText"/>
        <w:kinsoku w:val="0"/>
        <w:overflowPunct w:val="0"/>
        <w:jc w:val="both"/>
        <w:rPr>
          <w:b/>
          <w:bCs/>
        </w:rPr>
      </w:pPr>
    </w:p>
    <w:p w14:paraId="3EE21011" w14:textId="77777777" w:rsidR="0070589C" w:rsidRPr="00C3365C" w:rsidRDefault="0070589C" w:rsidP="0070589C">
      <w:pPr>
        <w:pStyle w:val="BodyText"/>
        <w:kinsoku w:val="0"/>
        <w:overflowPunct w:val="0"/>
        <w:spacing w:before="1" w:line="360" w:lineRule="auto"/>
        <w:ind w:left="160" w:firstLine="720"/>
        <w:jc w:val="both"/>
      </w:pPr>
      <w:r w:rsidRPr="00C3365C">
        <w:t xml:space="preserve">The Sabretooth Mountain Range in the State of Mind is an area of uncommon </w:t>
      </w:r>
      <w:r w:rsidRPr="00C3365C">
        <w:rPr>
          <w:spacing w:val="-3"/>
        </w:rPr>
        <w:t xml:space="preserve">beauty, </w:t>
      </w:r>
      <w:r w:rsidRPr="00C3365C">
        <w:t>and the land surrounding Townville is owned by the United States and is especially unique because of its scenic vistas and waterfalls. As a result, the Townville area has recently</w:t>
      </w:r>
      <w:r w:rsidRPr="00C3365C">
        <w:rPr>
          <w:spacing w:val="-32"/>
        </w:rPr>
        <w:t xml:space="preserve"> </w:t>
      </w:r>
      <w:r w:rsidRPr="00C3365C">
        <w:t>attracted a large number of wealthy residents who have purchased most of the available land for their private homes, a number of golf courses and three five-star resort facilities. Nevertheless, the recent recession has hit the town hard, and with its traditional industries of logging and mining giving</w:t>
      </w:r>
      <w:r w:rsidRPr="00C3365C">
        <w:rPr>
          <w:spacing w:val="-3"/>
        </w:rPr>
        <w:t xml:space="preserve"> </w:t>
      </w:r>
      <w:r w:rsidRPr="00C3365C">
        <w:t>way</w:t>
      </w:r>
      <w:r w:rsidRPr="00C3365C">
        <w:rPr>
          <w:spacing w:val="-10"/>
        </w:rPr>
        <w:t xml:space="preserve"> </w:t>
      </w:r>
      <w:r w:rsidRPr="00C3365C">
        <w:t>to</w:t>
      </w:r>
      <w:r w:rsidRPr="00C3365C">
        <w:rPr>
          <w:spacing w:val="-2"/>
        </w:rPr>
        <w:t xml:space="preserve"> </w:t>
      </w:r>
      <w:r w:rsidRPr="00C3365C">
        <w:t>those</w:t>
      </w:r>
      <w:r w:rsidRPr="00C3365C">
        <w:rPr>
          <w:spacing w:val="-3"/>
        </w:rPr>
        <w:t xml:space="preserve"> </w:t>
      </w:r>
      <w:r w:rsidRPr="00C3365C">
        <w:t>jobs</w:t>
      </w:r>
      <w:r w:rsidRPr="00C3365C">
        <w:rPr>
          <w:spacing w:val="-2"/>
        </w:rPr>
        <w:t xml:space="preserve"> </w:t>
      </w:r>
      <w:r w:rsidRPr="00C3365C">
        <w:t>that</w:t>
      </w:r>
      <w:r w:rsidRPr="00C3365C">
        <w:rPr>
          <w:spacing w:val="-2"/>
        </w:rPr>
        <w:t xml:space="preserve"> </w:t>
      </w:r>
      <w:r w:rsidRPr="00C3365C">
        <w:t>can</w:t>
      </w:r>
      <w:r w:rsidRPr="00C3365C">
        <w:rPr>
          <w:spacing w:val="-3"/>
        </w:rPr>
        <w:t xml:space="preserve"> </w:t>
      </w:r>
      <w:r w:rsidRPr="00C3365C">
        <w:t>be</w:t>
      </w:r>
      <w:r w:rsidRPr="00C3365C">
        <w:rPr>
          <w:spacing w:val="-2"/>
        </w:rPr>
        <w:t xml:space="preserve"> </w:t>
      </w:r>
      <w:r w:rsidRPr="00C3365C">
        <w:t>found</w:t>
      </w:r>
      <w:r w:rsidRPr="00C3365C">
        <w:rPr>
          <w:spacing w:val="-2"/>
        </w:rPr>
        <w:t xml:space="preserve"> </w:t>
      </w:r>
      <w:r w:rsidRPr="00C3365C">
        <w:t>in</w:t>
      </w:r>
      <w:r w:rsidRPr="00C3365C">
        <w:rPr>
          <w:spacing w:val="-3"/>
        </w:rPr>
        <w:t xml:space="preserve"> </w:t>
      </w:r>
      <w:r w:rsidRPr="00C3365C">
        <w:t>the</w:t>
      </w:r>
      <w:r w:rsidRPr="00C3365C">
        <w:rPr>
          <w:spacing w:val="-2"/>
        </w:rPr>
        <w:t xml:space="preserve"> </w:t>
      </w:r>
      <w:r w:rsidRPr="00C3365C">
        <w:t>new</w:t>
      </w:r>
      <w:r w:rsidRPr="00C3365C">
        <w:rPr>
          <w:spacing w:val="-2"/>
        </w:rPr>
        <w:t xml:space="preserve"> </w:t>
      </w:r>
      <w:r w:rsidRPr="00C3365C">
        <w:t>tourist</w:t>
      </w:r>
      <w:r w:rsidRPr="00C3365C">
        <w:rPr>
          <w:spacing w:val="-3"/>
        </w:rPr>
        <w:t xml:space="preserve"> </w:t>
      </w:r>
      <w:r w:rsidRPr="00C3365C">
        <w:t>industry,</w:t>
      </w:r>
      <w:r w:rsidRPr="00C3365C">
        <w:rPr>
          <w:spacing w:val="-2"/>
        </w:rPr>
        <w:t xml:space="preserve"> </w:t>
      </w:r>
      <w:r w:rsidRPr="00C3365C">
        <w:t>unemployment</w:t>
      </w:r>
      <w:r w:rsidRPr="00C3365C">
        <w:rPr>
          <w:spacing w:val="-2"/>
        </w:rPr>
        <w:t xml:space="preserve"> </w:t>
      </w:r>
      <w:r w:rsidRPr="00C3365C">
        <w:t>is</w:t>
      </w:r>
      <w:r w:rsidRPr="00C3365C">
        <w:rPr>
          <w:spacing w:val="-3"/>
        </w:rPr>
        <w:t xml:space="preserve"> </w:t>
      </w:r>
      <w:r w:rsidRPr="00C3365C">
        <w:t>running at greater than</w:t>
      </w:r>
      <w:r w:rsidRPr="00C3365C">
        <w:rPr>
          <w:spacing w:val="-1"/>
        </w:rPr>
        <w:t xml:space="preserve"> </w:t>
      </w:r>
      <w:r w:rsidRPr="00C3365C">
        <w:t>20%.</w:t>
      </w:r>
    </w:p>
    <w:p w14:paraId="018F392A" w14:textId="77777777" w:rsidR="0070589C" w:rsidRPr="00C3365C" w:rsidRDefault="0070589C" w:rsidP="0070589C">
      <w:pPr>
        <w:pStyle w:val="BodyText"/>
        <w:kinsoku w:val="0"/>
        <w:overflowPunct w:val="0"/>
        <w:spacing w:before="139" w:line="360" w:lineRule="auto"/>
        <w:ind w:left="160" w:firstLine="720"/>
        <w:jc w:val="both"/>
      </w:pPr>
      <w:r w:rsidRPr="00C3365C">
        <w:t>Recently, Syn-Gen Corporation announced its plans to construct a synthetic fuel facility on leased federal land in the Townville area to convert shale and natural gas found in abundance there into synthetic gasoline. The proposed facility, which will be out of view of the main Townville valley, is purported to use the latest technology to minimize particulate and toxic air emissions, and the impact to the land will be restored to its natural state after 100 year of operation. However, the project even with the most expensive mitigation measures will cause increased sulfur dioxide and nitrogen oxide emissions, as well as impacts to the land from the facility and the mining operations. The company represents that its project will eliminate unemployment in the area, and that there will be significant environmental benefits from the resulting, low-emission gasoline produced, as well as from reduced tankerage and reduced risk of oil spills from foreign oil imports.</w:t>
      </w:r>
    </w:p>
    <w:p w14:paraId="6E90C3B1" w14:textId="77777777" w:rsidR="0070589C" w:rsidRPr="00C3365C" w:rsidRDefault="0070589C" w:rsidP="0070589C">
      <w:pPr>
        <w:pStyle w:val="BodyText"/>
        <w:kinsoku w:val="0"/>
        <w:overflowPunct w:val="0"/>
        <w:spacing w:before="138" w:line="360" w:lineRule="auto"/>
        <w:ind w:left="160" w:firstLine="720"/>
        <w:jc w:val="both"/>
      </w:pPr>
      <w:r w:rsidRPr="00C3365C">
        <w:t>A Townville landowners’ group, concerned with the project’s impacts on the scenery, a population increase and the resulting congestion, seek to halt the project. They have contacted a local environmental group, People Interested in Saving Trees (PIST), and together they are discussing a joint presentation before the body duly authorized to decide whether the facility will be allowed to go forward on the proposed sit</w:t>
      </w:r>
      <w:r>
        <w:t xml:space="preserve">e. </w:t>
      </w:r>
    </w:p>
    <w:p w14:paraId="42B0496C" w14:textId="77777777" w:rsidR="0070589C" w:rsidRDefault="0070589C" w:rsidP="0070589C">
      <w:pPr>
        <w:widowControl/>
        <w:autoSpaceDE/>
        <w:autoSpaceDN/>
        <w:adjustRightInd/>
        <w:spacing w:after="160" w:line="259" w:lineRule="auto"/>
        <w:rPr>
          <w:sz w:val="24"/>
          <w:szCs w:val="24"/>
        </w:rPr>
      </w:pPr>
      <w:r>
        <w:br w:type="page"/>
      </w:r>
    </w:p>
    <w:p w14:paraId="7FFD9DCE" w14:textId="77777777" w:rsidR="0070589C" w:rsidRDefault="0070589C" w:rsidP="0070589C">
      <w:pPr>
        <w:pStyle w:val="Heading1"/>
        <w:kinsoku w:val="0"/>
        <w:overflowPunct w:val="0"/>
        <w:spacing w:before="58"/>
        <w:jc w:val="both"/>
        <w:rPr>
          <w:sz w:val="32"/>
          <w:szCs w:val="32"/>
        </w:rPr>
      </w:pPr>
      <w:bookmarkStart w:id="12" w:name="Page_52"/>
      <w:bookmarkEnd w:id="12"/>
      <w:r w:rsidRPr="00494552">
        <w:rPr>
          <w:sz w:val="32"/>
          <w:szCs w:val="32"/>
        </w:rPr>
        <w:lastRenderedPageBreak/>
        <w:t>Chapter 3</w:t>
      </w:r>
    </w:p>
    <w:p w14:paraId="3F9BE56B" w14:textId="77777777" w:rsidR="0070589C" w:rsidRPr="00494552" w:rsidRDefault="0070589C" w:rsidP="0070589C"/>
    <w:p w14:paraId="5ABCFDD4" w14:textId="77777777" w:rsidR="0070589C" w:rsidRPr="00494552" w:rsidRDefault="0070589C" w:rsidP="0070589C">
      <w:pPr>
        <w:pStyle w:val="Heading1"/>
        <w:kinsoku w:val="0"/>
        <w:overflowPunct w:val="0"/>
        <w:spacing w:before="58"/>
        <w:jc w:val="both"/>
        <w:rPr>
          <w:sz w:val="32"/>
          <w:szCs w:val="32"/>
        </w:rPr>
      </w:pPr>
      <w:r w:rsidRPr="00494552">
        <w:rPr>
          <w:sz w:val="32"/>
          <w:szCs w:val="32"/>
        </w:rPr>
        <w:t xml:space="preserve">Risk and Health </w:t>
      </w:r>
    </w:p>
    <w:p w14:paraId="1F62A48E" w14:textId="77777777" w:rsidR="0070589C" w:rsidRPr="00C3365C" w:rsidRDefault="0070589C" w:rsidP="0070589C">
      <w:pPr>
        <w:jc w:val="both"/>
      </w:pPr>
    </w:p>
    <w:p w14:paraId="264F9CB3" w14:textId="6BA124EE" w:rsidR="0070589C" w:rsidRPr="00C13864" w:rsidRDefault="3A95F3E5" w:rsidP="0070589C">
      <w:pPr>
        <w:ind w:right="540" w:firstLine="720"/>
        <w:jc w:val="both"/>
        <w:rPr>
          <w:sz w:val="24"/>
          <w:szCs w:val="24"/>
        </w:rPr>
      </w:pPr>
      <w:r w:rsidRPr="3A95F3E5">
        <w:rPr>
          <w:sz w:val="24"/>
          <w:szCs w:val="24"/>
        </w:rPr>
        <w:t xml:space="preserve">This chapter introduces a central question for EJ advocates: How do we know that a risk posed to a certain population segment is any different from the same risk posed to any other population segment?  For example, the risk of an eruption from the Yellowstone super volcano may pose a risk to racial minorities in Jackson, Wyoming, but that risk may be shared equally by all residents of Jackson if the city is buried entirely by an eruption.  On the other hand, if an infectious disease spread across New York City, the United States, and around the world, and caused higher rates of hospitalization and death among certain racial minorities, that disparate risk may give rise to concerns for environmental injustice.  </w:t>
      </w:r>
    </w:p>
    <w:p w14:paraId="573B52F2" w14:textId="77777777" w:rsidR="0070589C" w:rsidRPr="00C13864" w:rsidRDefault="0070589C" w:rsidP="0070589C">
      <w:pPr>
        <w:ind w:right="540" w:firstLine="720"/>
        <w:jc w:val="both"/>
        <w:rPr>
          <w:sz w:val="24"/>
          <w:szCs w:val="24"/>
        </w:rPr>
      </w:pPr>
    </w:p>
    <w:p w14:paraId="19E9F88A" w14:textId="77777777" w:rsidR="0070589C" w:rsidRPr="00C13864" w:rsidRDefault="0070589C" w:rsidP="0070589C">
      <w:pPr>
        <w:ind w:right="540" w:firstLine="720"/>
        <w:jc w:val="both"/>
        <w:rPr>
          <w:sz w:val="24"/>
          <w:szCs w:val="24"/>
        </w:rPr>
      </w:pPr>
      <w:r w:rsidRPr="00C13864">
        <w:rPr>
          <w:sz w:val="24"/>
          <w:szCs w:val="24"/>
        </w:rPr>
        <w:t>As instructors discuss the concept of risk and health with students, they may want to emphasize a few key concepts from the start:</w:t>
      </w:r>
    </w:p>
    <w:p w14:paraId="3FF08BD1" w14:textId="77777777" w:rsidR="0070589C" w:rsidRDefault="0070589C" w:rsidP="0070589C">
      <w:pPr>
        <w:ind w:right="540" w:firstLine="720"/>
        <w:jc w:val="both"/>
      </w:pPr>
    </w:p>
    <w:p w14:paraId="0A30A7EC" w14:textId="18B37DA0" w:rsidR="0070589C" w:rsidRDefault="3A95F3E5" w:rsidP="0070589C">
      <w:pPr>
        <w:pStyle w:val="ListParagraph"/>
        <w:numPr>
          <w:ilvl w:val="0"/>
          <w:numId w:val="15"/>
        </w:numPr>
        <w:ind w:right="540"/>
        <w:jc w:val="both"/>
      </w:pPr>
      <w:r w:rsidRPr="3A95F3E5">
        <w:rPr>
          <w:b/>
          <w:bCs/>
        </w:rPr>
        <w:t>Risk:</w:t>
      </w:r>
      <w:r>
        <w:t xml:space="preserve"> The potential adverse impacts from a certain action or inaction. </w:t>
      </w:r>
    </w:p>
    <w:p w14:paraId="07A6B7CB" w14:textId="61072B98" w:rsidR="0070589C" w:rsidRDefault="3A95F3E5" w:rsidP="0070589C">
      <w:pPr>
        <w:pStyle w:val="ListParagraph"/>
        <w:numPr>
          <w:ilvl w:val="0"/>
          <w:numId w:val="15"/>
        </w:numPr>
        <w:ind w:right="540"/>
        <w:jc w:val="both"/>
      </w:pPr>
      <w:r w:rsidRPr="3A95F3E5">
        <w:rPr>
          <w:b/>
          <w:bCs/>
        </w:rPr>
        <w:t>Risk assessment:</w:t>
      </w:r>
      <w:r>
        <w:t xml:space="preserve"> An attempt to understand, evaluate, compare, and perhaps quantify the nature, gravity, and probability of adverse impacts of an action or inaction. </w:t>
      </w:r>
    </w:p>
    <w:p w14:paraId="21E59CEC" w14:textId="77777777" w:rsidR="0070589C" w:rsidRDefault="3A95F3E5" w:rsidP="0070589C">
      <w:pPr>
        <w:pStyle w:val="ListParagraph"/>
        <w:numPr>
          <w:ilvl w:val="0"/>
          <w:numId w:val="15"/>
        </w:numPr>
        <w:ind w:right="540"/>
        <w:jc w:val="both"/>
      </w:pPr>
      <w:r w:rsidRPr="3A95F3E5">
        <w:rPr>
          <w:b/>
          <w:bCs/>
        </w:rPr>
        <w:t>Risk management:</w:t>
      </w:r>
      <w:r>
        <w:t xml:space="preserve">  An attempt to lower the potential gravity or probability of adverse impacts from an action or inaction.  </w:t>
      </w:r>
    </w:p>
    <w:p w14:paraId="7453CA58" w14:textId="455705B9" w:rsidR="3A95F3E5" w:rsidRDefault="3A95F3E5" w:rsidP="3A95F3E5">
      <w:pPr>
        <w:pStyle w:val="NormalWeb"/>
        <w:shd w:val="clear" w:color="auto" w:fill="FFFFFF" w:themeFill="background1"/>
        <w:spacing w:before="0" w:beforeAutospacing="0" w:after="0"/>
        <w:ind w:left="720" w:right="1090"/>
        <w:jc w:val="both"/>
        <w:rPr>
          <w:color w:val="000000" w:themeColor="text1"/>
        </w:rPr>
      </w:pPr>
    </w:p>
    <w:p w14:paraId="02526382" w14:textId="77777777" w:rsidR="0070589C" w:rsidRPr="00C3365C" w:rsidRDefault="0070589C" w:rsidP="0070589C">
      <w:pPr>
        <w:pStyle w:val="Heading2"/>
        <w:shd w:val="clear" w:color="auto" w:fill="FFFFFF"/>
        <w:ind w:left="720" w:right="1090"/>
        <w:jc w:val="both"/>
        <w:rPr>
          <w:rFonts w:ascii="Times New Roman" w:hAnsi="Times New Roman" w:cs="Times New Roman"/>
          <w:b/>
          <w:bCs/>
          <w:color w:val="000000"/>
          <w:sz w:val="24"/>
          <w:szCs w:val="24"/>
        </w:rPr>
      </w:pPr>
      <w:r w:rsidRPr="00C3365C">
        <w:rPr>
          <w:rFonts w:ascii="Times New Roman" w:hAnsi="Times New Roman" w:cs="Times New Roman"/>
          <w:b/>
          <w:bCs/>
          <w:color w:val="000000"/>
          <w:sz w:val="24"/>
          <w:szCs w:val="24"/>
        </w:rPr>
        <w:t>Factors that Influence Racial and Ethnic Minority Group Health:</w:t>
      </w:r>
    </w:p>
    <w:p w14:paraId="2DC01931" w14:textId="77777777" w:rsidR="0070589C" w:rsidRPr="00C3365C" w:rsidRDefault="0070589C" w:rsidP="0070589C">
      <w:pPr>
        <w:ind w:left="720" w:right="1090"/>
        <w:jc w:val="both"/>
      </w:pPr>
    </w:p>
    <w:p w14:paraId="3D9348A9" w14:textId="77777777" w:rsidR="0070589C" w:rsidRPr="00C13864" w:rsidRDefault="3A95F3E5" w:rsidP="3A95F3E5">
      <w:pPr>
        <w:shd w:val="clear" w:color="auto" w:fill="FFFFFF" w:themeFill="background1"/>
        <w:spacing w:after="100" w:afterAutospacing="1"/>
        <w:ind w:left="720" w:right="1090"/>
        <w:jc w:val="both"/>
        <w:rPr>
          <w:color w:val="000000"/>
          <w:sz w:val="24"/>
          <w:szCs w:val="24"/>
        </w:rPr>
      </w:pPr>
      <w:r w:rsidRPr="3A95F3E5">
        <w:rPr>
          <w:color w:val="000000" w:themeColor="text1"/>
          <w:sz w:val="24"/>
          <w:szCs w:val="24"/>
        </w:rPr>
        <w:t>Health differences between racial and ethnic groups are often due to economic and social conditions that are more common among some racial and ethnic minorities than whites. In public health emergencies, these conditions can also isolate people from the resources they need to prepare for and respond to outbreaks.</w:t>
      </w:r>
    </w:p>
    <w:p w14:paraId="57482F96" w14:textId="7E5EFD43" w:rsidR="3A95F3E5" w:rsidRDefault="3A95F3E5" w:rsidP="3A95F3E5">
      <w:pPr>
        <w:shd w:val="clear" w:color="auto" w:fill="FFFFFF" w:themeFill="background1"/>
        <w:spacing w:afterAutospacing="1"/>
        <w:ind w:left="720" w:right="1090"/>
        <w:jc w:val="both"/>
        <w:rPr>
          <w:color w:val="000000" w:themeColor="text1"/>
          <w:sz w:val="24"/>
          <w:szCs w:val="24"/>
        </w:rPr>
      </w:pPr>
    </w:p>
    <w:p w14:paraId="565741C0" w14:textId="77777777" w:rsidR="0070589C" w:rsidRPr="00C13864" w:rsidRDefault="3A95F3E5" w:rsidP="0070589C">
      <w:pPr>
        <w:shd w:val="clear" w:color="auto" w:fill="FFFFFF"/>
        <w:spacing w:before="100" w:beforeAutospacing="1" w:after="100" w:afterAutospacing="1"/>
        <w:ind w:left="720" w:right="1090"/>
        <w:jc w:val="both"/>
        <w:outlineLvl w:val="2"/>
        <w:rPr>
          <w:b/>
          <w:bCs/>
          <w:color w:val="000000"/>
          <w:sz w:val="24"/>
          <w:szCs w:val="24"/>
        </w:rPr>
      </w:pPr>
      <w:r w:rsidRPr="3A95F3E5">
        <w:rPr>
          <w:b/>
          <w:bCs/>
          <w:color w:val="000000" w:themeColor="text1"/>
          <w:sz w:val="24"/>
          <w:szCs w:val="24"/>
        </w:rPr>
        <w:t>Living conditions</w:t>
      </w:r>
    </w:p>
    <w:p w14:paraId="6F06F751" w14:textId="05BF2821" w:rsidR="3A95F3E5" w:rsidRDefault="3A95F3E5" w:rsidP="3A95F3E5">
      <w:pPr>
        <w:shd w:val="clear" w:color="auto" w:fill="FFFFFF" w:themeFill="background1"/>
        <w:spacing w:afterAutospacing="1"/>
        <w:ind w:left="720" w:right="1090"/>
        <w:jc w:val="both"/>
        <w:rPr>
          <w:color w:val="000000" w:themeColor="text1"/>
          <w:sz w:val="24"/>
          <w:szCs w:val="24"/>
        </w:rPr>
      </w:pPr>
    </w:p>
    <w:p w14:paraId="5E943969" w14:textId="77777777" w:rsidR="0070589C" w:rsidRPr="00C13864" w:rsidRDefault="3A95F3E5" w:rsidP="0070589C">
      <w:pPr>
        <w:shd w:val="clear" w:color="auto" w:fill="FFFFFF"/>
        <w:spacing w:after="100" w:afterAutospacing="1"/>
        <w:ind w:left="720" w:right="1090"/>
        <w:jc w:val="both"/>
        <w:rPr>
          <w:color w:val="000000"/>
          <w:sz w:val="24"/>
          <w:szCs w:val="24"/>
        </w:rPr>
      </w:pPr>
      <w:r w:rsidRPr="3A95F3E5">
        <w:rPr>
          <w:color w:val="000000" w:themeColor="text1"/>
          <w:sz w:val="24"/>
          <w:szCs w:val="24"/>
        </w:rPr>
        <w:t>Members of racial and ethnic minorities may be more likely to live in </w:t>
      </w:r>
      <w:r w:rsidRPr="3A95F3E5">
        <w:rPr>
          <w:b/>
          <w:bCs/>
          <w:color w:val="000000" w:themeColor="text1"/>
          <w:sz w:val="24"/>
          <w:szCs w:val="24"/>
        </w:rPr>
        <w:t>densely populated areas</w:t>
      </w:r>
      <w:r w:rsidRPr="3A95F3E5">
        <w:rPr>
          <w:color w:val="000000" w:themeColor="text1"/>
          <w:sz w:val="24"/>
          <w:szCs w:val="24"/>
        </w:rPr>
        <w:t> because of institutional racism in the form of residential housing segregation. People living in densely populated areas may find it more difficult to practice prevention measures such as social distancing.</w:t>
      </w:r>
    </w:p>
    <w:p w14:paraId="72CEFF66" w14:textId="33EDBBCD"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6B142C9D" w14:textId="2C7E4154" w:rsidR="0070589C" w:rsidRPr="00C13864" w:rsidRDefault="3A95F3E5" w:rsidP="3A95F3E5">
      <w:pPr>
        <w:shd w:val="clear" w:color="auto" w:fill="FFFFFF" w:themeFill="background1"/>
        <w:spacing w:before="100" w:beforeAutospacing="1" w:after="100" w:afterAutospacing="1"/>
        <w:ind w:left="720" w:right="1090"/>
        <w:jc w:val="both"/>
        <w:rPr>
          <w:color w:val="000000"/>
          <w:sz w:val="24"/>
          <w:szCs w:val="24"/>
        </w:rPr>
      </w:pPr>
      <w:r w:rsidRPr="3A95F3E5">
        <w:rPr>
          <w:color w:val="000000" w:themeColor="text1"/>
          <w:sz w:val="24"/>
          <w:szCs w:val="24"/>
        </w:rPr>
        <w:lastRenderedPageBreak/>
        <w:t>Research also suggests that racial residential segregation is a fundamental cause of health disparities. For example, racial </w:t>
      </w:r>
      <w:r w:rsidRPr="3A95F3E5">
        <w:rPr>
          <w:b/>
          <w:bCs/>
          <w:color w:val="000000" w:themeColor="text1"/>
          <w:sz w:val="24"/>
          <w:szCs w:val="24"/>
        </w:rPr>
        <w:t>residential segregation</w:t>
      </w:r>
      <w:r w:rsidRPr="3A95F3E5">
        <w:rPr>
          <w:color w:val="000000" w:themeColor="text1"/>
          <w:sz w:val="24"/>
          <w:szCs w:val="24"/>
        </w:rPr>
        <w:t> is linked with a variety of adverse health outcomes and underlying health conditions. Many members of racial and ethnic minorities live in neighborhoods that are </w:t>
      </w:r>
      <w:r w:rsidRPr="3A95F3E5">
        <w:rPr>
          <w:b/>
          <w:bCs/>
          <w:color w:val="000000" w:themeColor="text1"/>
          <w:sz w:val="24"/>
          <w:szCs w:val="24"/>
        </w:rPr>
        <w:t>further from grocery stores and medical facilities</w:t>
      </w:r>
      <w:r w:rsidRPr="3A95F3E5">
        <w:rPr>
          <w:color w:val="000000" w:themeColor="text1"/>
          <w:sz w:val="24"/>
          <w:szCs w:val="24"/>
        </w:rPr>
        <w:t>, making it more difficult to receive care if sick and stock up on supplies that would allow them to stay home.</w:t>
      </w:r>
    </w:p>
    <w:p w14:paraId="6C949DAD" w14:textId="08C7B64D"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000063C6"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b/>
          <w:bCs/>
          <w:color w:val="000000" w:themeColor="text1"/>
          <w:sz w:val="24"/>
          <w:szCs w:val="24"/>
        </w:rPr>
        <w:t>Multi-generational households</w:t>
      </w:r>
      <w:r w:rsidRPr="3A95F3E5">
        <w:rPr>
          <w:color w:val="000000" w:themeColor="text1"/>
          <w:sz w:val="24"/>
          <w:szCs w:val="24"/>
        </w:rPr>
        <w:t>, which may be more common among some racial and ethnic minority families</w:t>
      </w:r>
      <w:r w:rsidRPr="3A95F3E5">
        <w:rPr>
          <w:color w:val="000000" w:themeColor="text1"/>
          <w:sz w:val="24"/>
          <w:szCs w:val="24"/>
          <w:vertAlign w:val="superscript"/>
        </w:rPr>
        <w:t>6</w:t>
      </w:r>
      <w:r w:rsidRPr="3A95F3E5">
        <w:rPr>
          <w:color w:val="000000" w:themeColor="text1"/>
          <w:sz w:val="24"/>
          <w:szCs w:val="24"/>
        </w:rPr>
        <w:t>, may find it difficult to take precautions to protect older family members or isolate those who are sick, if space in the household is limited.</w:t>
      </w:r>
    </w:p>
    <w:p w14:paraId="034259F4" w14:textId="74287C70"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2A00433A"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color w:val="000000" w:themeColor="text1"/>
          <w:sz w:val="24"/>
          <w:szCs w:val="24"/>
        </w:rPr>
        <w:t>Racial and ethnic minority groups are </w:t>
      </w:r>
      <w:r w:rsidRPr="3A95F3E5">
        <w:rPr>
          <w:b/>
          <w:bCs/>
          <w:color w:val="000000" w:themeColor="text1"/>
          <w:sz w:val="24"/>
          <w:szCs w:val="24"/>
        </w:rPr>
        <w:t>over-represented in jails, prisons, and detention centers</w:t>
      </w:r>
      <w:r w:rsidRPr="3A95F3E5">
        <w:rPr>
          <w:color w:val="000000" w:themeColor="text1"/>
          <w:sz w:val="24"/>
          <w:szCs w:val="24"/>
        </w:rPr>
        <w:t>, which have specific risks due to congregate living, shared food service, and more.</w:t>
      </w:r>
    </w:p>
    <w:p w14:paraId="5895F6C7" w14:textId="0E875F25" w:rsidR="3A95F3E5" w:rsidRDefault="3A95F3E5" w:rsidP="3A95F3E5">
      <w:pPr>
        <w:shd w:val="clear" w:color="auto" w:fill="FFFFFF" w:themeFill="background1"/>
        <w:spacing w:beforeAutospacing="1" w:afterAutospacing="1"/>
        <w:ind w:left="720" w:right="1090"/>
        <w:jc w:val="both"/>
        <w:rPr>
          <w:b/>
          <w:bCs/>
          <w:color w:val="000000" w:themeColor="text1"/>
          <w:sz w:val="24"/>
          <w:szCs w:val="24"/>
        </w:rPr>
      </w:pPr>
    </w:p>
    <w:p w14:paraId="671FC68F"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b/>
          <w:bCs/>
          <w:color w:val="000000" w:themeColor="text1"/>
          <w:sz w:val="24"/>
          <w:szCs w:val="24"/>
        </w:rPr>
        <w:t>Work circumstances</w:t>
      </w:r>
    </w:p>
    <w:p w14:paraId="28819CFD" w14:textId="6E23665B"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4911564F"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color w:val="000000" w:themeColor="text1"/>
          <w:sz w:val="24"/>
          <w:szCs w:val="24"/>
        </w:rPr>
        <w:t>The types of work and policies in the work environments where people in some racial and ethnic groups are overrepresented can also contribute to their risk for getting sick with COVID-19. Examples include:</w:t>
      </w:r>
    </w:p>
    <w:p w14:paraId="15924490" w14:textId="4E453221" w:rsidR="3A95F3E5" w:rsidRDefault="3A95F3E5" w:rsidP="3A95F3E5">
      <w:pPr>
        <w:shd w:val="clear" w:color="auto" w:fill="FFFFFF" w:themeFill="background1"/>
        <w:spacing w:beforeAutospacing="1" w:afterAutospacing="1"/>
        <w:ind w:left="720" w:right="1090"/>
        <w:jc w:val="both"/>
        <w:rPr>
          <w:b/>
          <w:bCs/>
          <w:color w:val="000000" w:themeColor="text1"/>
          <w:sz w:val="24"/>
          <w:szCs w:val="24"/>
        </w:rPr>
      </w:pPr>
    </w:p>
    <w:p w14:paraId="3928DFEE"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b/>
          <w:bCs/>
          <w:color w:val="000000" w:themeColor="text1"/>
          <w:sz w:val="24"/>
          <w:szCs w:val="24"/>
        </w:rPr>
        <w:t>Critical workers:</w:t>
      </w:r>
      <w:r w:rsidRPr="3A95F3E5">
        <w:rPr>
          <w:color w:val="000000" w:themeColor="text1"/>
          <w:sz w:val="24"/>
          <w:szCs w:val="24"/>
        </w:rPr>
        <w:t> The risk of infection may be greater for </w:t>
      </w:r>
      <w:r w:rsidRPr="3A95F3E5">
        <w:rPr>
          <w:b/>
          <w:bCs/>
          <w:color w:val="000000" w:themeColor="text1"/>
          <w:sz w:val="24"/>
          <w:szCs w:val="24"/>
        </w:rPr>
        <w:t>workers in essential industries</w:t>
      </w:r>
      <w:r w:rsidRPr="3A95F3E5">
        <w:rPr>
          <w:color w:val="000000" w:themeColor="text1"/>
          <w:sz w:val="24"/>
          <w:szCs w:val="24"/>
        </w:rPr>
        <w:t> who continue to work outside the home despite outbreaks in their communities, including some people who may need to continue working in these jobs because of their economic circumstances.</w:t>
      </w:r>
    </w:p>
    <w:p w14:paraId="38B0B923" w14:textId="44F9A4F1"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70236F05"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color w:val="000000" w:themeColor="text1"/>
          <w:sz w:val="24"/>
          <w:szCs w:val="24"/>
        </w:rPr>
        <w:t>Nearly a quarter of employed Hispanic and Black or African American workers are employed in service industry jobs compared to 16% of non-Hispanic whites.</w:t>
      </w:r>
    </w:p>
    <w:p w14:paraId="14728F34" w14:textId="3D2BE611"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1A67108C"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color w:val="000000" w:themeColor="text1"/>
          <w:sz w:val="24"/>
          <w:szCs w:val="24"/>
        </w:rPr>
        <w:t xml:space="preserve">Hispanic workers account for 17% of total employment but constitute 53% of agricultural workers; Black or African Americans make up 12% of all </w:t>
      </w:r>
      <w:r w:rsidRPr="3A95F3E5">
        <w:rPr>
          <w:color w:val="000000" w:themeColor="text1"/>
          <w:sz w:val="24"/>
          <w:szCs w:val="24"/>
        </w:rPr>
        <w:lastRenderedPageBreak/>
        <w:t>employed workers, but account for 30% of licensed practical and licensed vocational nurses.</w:t>
      </w:r>
    </w:p>
    <w:p w14:paraId="4B30DF5B" w14:textId="21A7EC0C" w:rsidR="3A95F3E5" w:rsidRDefault="3A95F3E5" w:rsidP="3A95F3E5">
      <w:pPr>
        <w:shd w:val="clear" w:color="auto" w:fill="FFFFFF" w:themeFill="background1"/>
        <w:spacing w:beforeAutospacing="1" w:afterAutospacing="1"/>
        <w:ind w:left="720" w:right="1090"/>
        <w:jc w:val="both"/>
        <w:rPr>
          <w:b/>
          <w:bCs/>
          <w:color w:val="000000" w:themeColor="text1"/>
          <w:sz w:val="24"/>
          <w:szCs w:val="24"/>
        </w:rPr>
      </w:pPr>
    </w:p>
    <w:p w14:paraId="7EF29CE7" w14:textId="72CC3D08" w:rsidR="0070589C" w:rsidRPr="00C13864" w:rsidRDefault="3A95F3E5" w:rsidP="3A95F3E5">
      <w:pPr>
        <w:shd w:val="clear" w:color="auto" w:fill="FFFFFF" w:themeFill="background1"/>
        <w:spacing w:before="100" w:beforeAutospacing="1" w:after="100" w:afterAutospacing="1"/>
        <w:ind w:left="720" w:right="1090"/>
        <w:jc w:val="both"/>
        <w:rPr>
          <w:color w:val="000000"/>
          <w:sz w:val="24"/>
          <w:szCs w:val="24"/>
        </w:rPr>
      </w:pPr>
      <w:r w:rsidRPr="3A95F3E5">
        <w:rPr>
          <w:b/>
          <w:bCs/>
          <w:color w:val="000000" w:themeColor="text1"/>
          <w:sz w:val="24"/>
          <w:szCs w:val="24"/>
        </w:rPr>
        <w:t>A lack of paid sick leave:</w:t>
      </w:r>
      <w:r w:rsidRPr="3A95F3E5">
        <w:rPr>
          <w:color w:val="000000" w:themeColor="text1"/>
          <w:sz w:val="24"/>
          <w:szCs w:val="24"/>
        </w:rPr>
        <w:t> Workers without </w:t>
      </w:r>
      <w:r w:rsidRPr="3A95F3E5">
        <w:rPr>
          <w:b/>
          <w:bCs/>
          <w:color w:val="000000" w:themeColor="text1"/>
          <w:sz w:val="24"/>
          <w:szCs w:val="24"/>
        </w:rPr>
        <w:t>paid sick leave</w:t>
      </w:r>
      <w:r w:rsidRPr="3A95F3E5">
        <w:rPr>
          <w:color w:val="000000" w:themeColor="text1"/>
          <w:sz w:val="24"/>
          <w:szCs w:val="24"/>
        </w:rPr>
        <w:t> might be more likely to continue to work even when they are sick for any reason.</w:t>
      </w:r>
    </w:p>
    <w:p w14:paraId="5EE6E0DC" w14:textId="62036BE9" w:rsidR="3A95F3E5" w:rsidRDefault="3A95F3E5" w:rsidP="3A95F3E5">
      <w:pPr>
        <w:shd w:val="clear" w:color="auto" w:fill="FFFFFF" w:themeFill="background1"/>
        <w:spacing w:beforeAutospacing="1" w:afterAutospacing="1"/>
        <w:ind w:left="720" w:right="1090"/>
        <w:jc w:val="both"/>
        <w:rPr>
          <w:b/>
          <w:bCs/>
          <w:color w:val="000000" w:themeColor="text1"/>
          <w:sz w:val="24"/>
          <w:szCs w:val="24"/>
        </w:rPr>
      </w:pPr>
    </w:p>
    <w:p w14:paraId="3C7A4626"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b/>
          <w:bCs/>
          <w:color w:val="000000" w:themeColor="text1"/>
          <w:sz w:val="24"/>
          <w:szCs w:val="24"/>
        </w:rPr>
        <w:t>Underlying health conditions and lower access to care</w:t>
      </w:r>
    </w:p>
    <w:p w14:paraId="05085330" w14:textId="33BAE75E"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39E1FFF0" w14:textId="192953A6" w:rsidR="0070589C" w:rsidRPr="00C13864" w:rsidRDefault="3A95F3E5" w:rsidP="3A95F3E5">
      <w:pPr>
        <w:shd w:val="clear" w:color="auto" w:fill="FFFFFF" w:themeFill="background1"/>
        <w:spacing w:before="100" w:beforeAutospacing="1" w:after="100" w:afterAutospacing="1"/>
        <w:ind w:left="720" w:right="1090"/>
        <w:jc w:val="both"/>
        <w:rPr>
          <w:color w:val="000000"/>
          <w:sz w:val="24"/>
          <w:szCs w:val="24"/>
        </w:rPr>
      </w:pPr>
      <w:r w:rsidRPr="3A95F3E5">
        <w:rPr>
          <w:color w:val="000000" w:themeColor="text1"/>
          <w:sz w:val="24"/>
          <w:szCs w:val="24"/>
        </w:rPr>
        <w:t>Existing health disparities, such as poorer underlying health and barriers to getting health care, might make members of many racial and ethnic minority groups especially vulnerable in public health emergencies.</w:t>
      </w:r>
    </w:p>
    <w:p w14:paraId="1B2A2A0F" w14:textId="5301284E"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2E2475C0" w14:textId="77777777" w:rsidR="0070589C" w:rsidRPr="00C13864" w:rsidRDefault="0070589C" w:rsidP="0070589C">
      <w:pPr>
        <w:shd w:val="clear" w:color="auto" w:fill="FFFFFF"/>
        <w:spacing w:before="100" w:beforeAutospacing="1" w:after="100" w:afterAutospacing="1"/>
        <w:ind w:left="720" w:right="1090"/>
        <w:jc w:val="both"/>
        <w:rPr>
          <w:color w:val="000000"/>
          <w:sz w:val="24"/>
          <w:szCs w:val="24"/>
        </w:rPr>
      </w:pPr>
      <w:r w:rsidRPr="00C13864">
        <w:rPr>
          <w:b/>
          <w:bCs/>
          <w:color w:val="000000"/>
          <w:sz w:val="24"/>
          <w:szCs w:val="24"/>
        </w:rPr>
        <w:t>Not having health insurance:</w:t>
      </w:r>
      <w:r w:rsidRPr="00C13864">
        <w:rPr>
          <w:color w:val="000000"/>
          <w:sz w:val="24"/>
          <w:szCs w:val="24"/>
        </w:rPr>
        <w:t> Compared to whites, Hispanics are almost 3 times as likely to be uninsured, and African Americans are almost twice as likely to be uninsured. In all age groups, blacks were more likely than whites to report not being able to see a doctor in the past year because of cost.</w:t>
      </w:r>
    </w:p>
    <w:p w14:paraId="47C61F3D" w14:textId="77777777" w:rsidR="0070589C" w:rsidRPr="00C13864" w:rsidRDefault="3A95F3E5" w:rsidP="3A95F3E5">
      <w:pPr>
        <w:shd w:val="clear" w:color="auto" w:fill="FFFFFF" w:themeFill="background1"/>
        <w:spacing w:before="100" w:beforeAutospacing="1" w:after="100" w:afterAutospacing="1"/>
        <w:ind w:left="720" w:right="1090"/>
        <w:jc w:val="both"/>
        <w:rPr>
          <w:color w:val="000000"/>
          <w:sz w:val="24"/>
          <w:szCs w:val="24"/>
        </w:rPr>
      </w:pPr>
      <w:r w:rsidRPr="3A95F3E5">
        <w:rPr>
          <w:color w:val="000000" w:themeColor="text1"/>
          <w:sz w:val="24"/>
          <w:szCs w:val="24"/>
        </w:rPr>
        <w:t>Inadequate access is also driven by a long-standing distrust of the health care system, language barriers, and financial implications associated with missing work to receive care.</w:t>
      </w:r>
    </w:p>
    <w:p w14:paraId="68C6CA0E" w14:textId="69EA803B" w:rsidR="3A95F3E5" w:rsidRDefault="3A95F3E5" w:rsidP="3A95F3E5">
      <w:pPr>
        <w:shd w:val="clear" w:color="auto" w:fill="FFFFFF" w:themeFill="background1"/>
        <w:spacing w:beforeAutospacing="1" w:afterAutospacing="1"/>
        <w:ind w:left="720" w:right="1090"/>
        <w:jc w:val="both"/>
        <w:rPr>
          <w:color w:val="000000" w:themeColor="text1"/>
          <w:sz w:val="24"/>
          <w:szCs w:val="24"/>
        </w:rPr>
      </w:pPr>
    </w:p>
    <w:p w14:paraId="16A954DC" w14:textId="77777777" w:rsidR="0070589C" w:rsidRPr="00C13864" w:rsidRDefault="3A95F3E5" w:rsidP="0070589C">
      <w:pPr>
        <w:shd w:val="clear" w:color="auto" w:fill="FFFFFF"/>
        <w:spacing w:before="100" w:beforeAutospacing="1" w:after="100" w:afterAutospacing="1"/>
        <w:ind w:left="720" w:right="1090"/>
        <w:jc w:val="both"/>
        <w:rPr>
          <w:color w:val="000000"/>
          <w:sz w:val="24"/>
          <w:szCs w:val="24"/>
        </w:rPr>
      </w:pPr>
      <w:r w:rsidRPr="3A95F3E5">
        <w:rPr>
          <w:b/>
          <w:bCs/>
          <w:color w:val="000000" w:themeColor="text1"/>
          <w:sz w:val="24"/>
          <w:szCs w:val="24"/>
        </w:rPr>
        <w:t>Serious underlying medical conditions:</w:t>
      </w:r>
      <w:r w:rsidRPr="3A95F3E5">
        <w:rPr>
          <w:color w:val="000000" w:themeColor="text1"/>
          <w:sz w:val="24"/>
          <w:szCs w:val="24"/>
        </w:rPr>
        <w:t> Compared to whites, black Americans experience higher death rates, and higher prevalence rates of chronic conditions.</w:t>
      </w:r>
    </w:p>
    <w:p w14:paraId="71D036E3" w14:textId="4E6B8C4C" w:rsidR="3A95F3E5" w:rsidRDefault="3A95F3E5" w:rsidP="3A95F3E5">
      <w:pPr>
        <w:shd w:val="clear" w:color="auto" w:fill="FFFFFF" w:themeFill="background1"/>
        <w:spacing w:beforeAutospacing="1" w:afterAutospacing="1"/>
        <w:ind w:left="720" w:right="1090"/>
        <w:jc w:val="both"/>
        <w:rPr>
          <w:b/>
          <w:bCs/>
          <w:color w:val="000000" w:themeColor="text1"/>
          <w:sz w:val="24"/>
          <w:szCs w:val="24"/>
        </w:rPr>
      </w:pPr>
    </w:p>
    <w:p w14:paraId="79292C66" w14:textId="77777777" w:rsidR="0070589C" w:rsidRPr="00C13864" w:rsidRDefault="0070589C" w:rsidP="0070589C">
      <w:pPr>
        <w:shd w:val="clear" w:color="auto" w:fill="FFFFFF"/>
        <w:spacing w:before="100" w:beforeAutospacing="1" w:after="100" w:afterAutospacing="1"/>
        <w:ind w:left="720" w:right="1090"/>
        <w:jc w:val="both"/>
        <w:rPr>
          <w:color w:val="000000"/>
          <w:sz w:val="24"/>
          <w:szCs w:val="24"/>
        </w:rPr>
      </w:pPr>
      <w:r w:rsidRPr="00C13864">
        <w:rPr>
          <w:b/>
          <w:bCs/>
          <w:color w:val="000000"/>
          <w:sz w:val="24"/>
          <w:szCs w:val="24"/>
        </w:rPr>
        <w:t>Stigma and systemic inequalities</w:t>
      </w:r>
      <w:r w:rsidRPr="00C13864">
        <w:rPr>
          <w:color w:val="000000"/>
          <w:sz w:val="24"/>
          <w:szCs w:val="24"/>
        </w:rPr>
        <w:t> may undermine prevention efforts, increase levels of chronic and toxic stress, and ultimately sustain health and health care disparities.</w:t>
      </w:r>
    </w:p>
    <w:p w14:paraId="3B9932E6" w14:textId="77777777" w:rsidR="0070589C" w:rsidRPr="00C3365C" w:rsidRDefault="0070589C" w:rsidP="0070589C">
      <w:pPr>
        <w:pStyle w:val="BodyText"/>
        <w:kinsoku w:val="0"/>
        <w:overflowPunct w:val="0"/>
        <w:spacing w:before="11"/>
        <w:jc w:val="both"/>
        <w:rPr>
          <w:b/>
          <w:bCs/>
        </w:rPr>
      </w:pPr>
    </w:p>
    <w:p w14:paraId="7F42867B" w14:textId="77777777" w:rsidR="0070589C" w:rsidRPr="00B1202C" w:rsidRDefault="0070589C" w:rsidP="0070589C">
      <w:pPr>
        <w:pStyle w:val="ListParagraph"/>
        <w:numPr>
          <w:ilvl w:val="0"/>
          <w:numId w:val="10"/>
        </w:numPr>
        <w:tabs>
          <w:tab w:val="left" w:pos="501"/>
        </w:tabs>
        <w:kinsoku w:val="0"/>
        <w:overflowPunct w:val="0"/>
        <w:ind w:hanging="340"/>
        <w:jc w:val="both"/>
        <w:rPr>
          <w:b/>
          <w:bCs/>
        </w:rPr>
      </w:pPr>
      <w:r w:rsidRPr="00C3365C">
        <w:rPr>
          <w:b/>
          <w:bCs/>
        </w:rPr>
        <w:t>Q</w:t>
      </w:r>
      <w:r>
        <w:rPr>
          <w:b/>
          <w:bCs/>
        </w:rPr>
        <w:t>uantitative</w:t>
      </w:r>
      <w:r w:rsidRPr="00C3365C">
        <w:rPr>
          <w:b/>
          <w:bCs/>
        </w:rPr>
        <w:t xml:space="preserve"> R</w:t>
      </w:r>
      <w:r>
        <w:rPr>
          <w:b/>
          <w:bCs/>
        </w:rPr>
        <w:t>isk</w:t>
      </w:r>
      <w:r w:rsidRPr="00C3365C">
        <w:rPr>
          <w:b/>
          <w:bCs/>
          <w:spacing w:val="2"/>
        </w:rPr>
        <w:t xml:space="preserve"> </w:t>
      </w:r>
      <w:r w:rsidRPr="00C3365C">
        <w:rPr>
          <w:b/>
          <w:bCs/>
        </w:rPr>
        <w:t>A</w:t>
      </w:r>
      <w:r>
        <w:rPr>
          <w:b/>
          <w:bCs/>
        </w:rPr>
        <w:t xml:space="preserve">ssessment </w:t>
      </w:r>
    </w:p>
    <w:p w14:paraId="362E1039" w14:textId="77777777" w:rsidR="0070589C" w:rsidRDefault="0070589C" w:rsidP="0070589C">
      <w:pPr>
        <w:pStyle w:val="BodyText"/>
        <w:kinsoku w:val="0"/>
        <w:overflowPunct w:val="0"/>
        <w:spacing w:before="5"/>
        <w:jc w:val="both"/>
        <w:rPr>
          <w:b/>
          <w:bCs/>
        </w:rPr>
      </w:pPr>
    </w:p>
    <w:p w14:paraId="20313825" w14:textId="77777777" w:rsidR="0070589C" w:rsidRDefault="0070589C" w:rsidP="0070589C">
      <w:pPr>
        <w:pStyle w:val="BodyText"/>
        <w:kinsoku w:val="0"/>
        <w:overflowPunct w:val="0"/>
        <w:spacing w:before="5"/>
        <w:ind w:right="540" w:firstLine="500"/>
        <w:jc w:val="both"/>
      </w:pPr>
      <w:r>
        <w:rPr>
          <w:bCs/>
        </w:rPr>
        <w:t xml:space="preserve">This section considers the value and challenges for quantifying risks to human health.  The concept of quantified risk assessment was quite controversial among some scholars and </w:t>
      </w:r>
      <w:r>
        <w:rPr>
          <w:bCs/>
        </w:rPr>
        <w:lastRenderedPageBreak/>
        <w:t xml:space="preserve">community advocates 20 years ago.  Since then, however, efforts have focused on improving risk assessment methodologies rather than rejecting risk assessment entirely.  </w:t>
      </w:r>
    </w:p>
    <w:p w14:paraId="1B43AA53" w14:textId="77777777" w:rsidR="0070589C" w:rsidRDefault="0070589C" w:rsidP="0070589C">
      <w:pPr>
        <w:pStyle w:val="BodyText"/>
        <w:kinsoku w:val="0"/>
        <w:overflowPunct w:val="0"/>
        <w:spacing w:before="5"/>
        <w:ind w:right="540"/>
        <w:jc w:val="both"/>
      </w:pPr>
    </w:p>
    <w:p w14:paraId="0DEA058D" w14:textId="77777777" w:rsidR="0070589C" w:rsidRPr="00DB072B" w:rsidRDefault="0070589C" w:rsidP="0070589C">
      <w:pPr>
        <w:pStyle w:val="BodyText"/>
        <w:kinsoku w:val="0"/>
        <w:overflowPunct w:val="0"/>
        <w:ind w:right="540"/>
        <w:jc w:val="center"/>
        <w:rPr>
          <w:b/>
          <w:i/>
          <w:sz w:val="28"/>
          <w:szCs w:val="28"/>
        </w:rPr>
      </w:pPr>
      <w:r w:rsidRPr="00DB072B">
        <w:rPr>
          <w:b/>
          <w:i/>
          <w:sz w:val="28"/>
          <w:szCs w:val="28"/>
        </w:rPr>
        <w:t>Notes and Questions</w:t>
      </w:r>
    </w:p>
    <w:p w14:paraId="65E3AC11" w14:textId="77777777" w:rsidR="0070589C" w:rsidRDefault="0070589C" w:rsidP="0070589C">
      <w:pPr>
        <w:pStyle w:val="BodyText"/>
        <w:kinsoku w:val="0"/>
        <w:overflowPunct w:val="0"/>
        <w:spacing w:before="5"/>
        <w:ind w:right="540"/>
        <w:jc w:val="both"/>
      </w:pPr>
    </w:p>
    <w:p w14:paraId="6A4CEAB4" w14:textId="77777777" w:rsidR="0070589C" w:rsidRDefault="0070589C" w:rsidP="0070589C">
      <w:pPr>
        <w:pStyle w:val="BodyText"/>
        <w:kinsoku w:val="0"/>
        <w:overflowPunct w:val="0"/>
        <w:spacing w:before="5"/>
        <w:ind w:right="540"/>
        <w:jc w:val="both"/>
      </w:pPr>
      <w:r>
        <w:tab/>
      </w:r>
      <w:r w:rsidRPr="00DB072B">
        <w:rPr>
          <w:b/>
        </w:rPr>
        <w:t>1.  “Excess” cancers.</w:t>
      </w:r>
      <w:r>
        <w:t xml:space="preserve">  This note reminds students of a hard reality:  the choice for any population is not “cancer” OR “no cancer.”  The choice is “cancer” AND “additional cancer cases” that might be prevented through different choices and actions.</w:t>
      </w:r>
    </w:p>
    <w:p w14:paraId="23D4F620" w14:textId="77777777" w:rsidR="0070589C" w:rsidRDefault="0070589C" w:rsidP="0070589C">
      <w:pPr>
        <w:pStyle w:val="BodyText"/>
        <w:kinsoku w:val="0"/>
        <w:overflowPunct w:val="0"/>
        <w:spacing w:before="5"/>
        <w:ind w:right="540"/>
        <w:jc w:val="both"/>
      </w:pPr>
    </w:p>
    <w:p w14:paraId="3BF2F155" w14:textId="77777777" w:rsidR="0070589C" w:rsidRDefault="0070589C" w:rsidP="0070589C">
      <w:pPr>
        <w:pStyle w:val="BodyText"/>
        <w:kinsoku w:val="0"/>
        <w:overflowPunct w:val="0"/>
        <w:spacing w:before="5"/>
        <w:ind w:right="540"/>
        <w:jc w:val="both"/>
      </w:pPr>
      <w:r>
        <w:tab/>
      </w:r>
      <w:r w:rsidRPr="00DB072B">
        <w:rPr>
          <w:b/>
        </w:rPr>
        <w:t>2.  Non-cancer risks.</w:t>
      </w:r>
      <w:r>
        <w:t xml:space="preserve">  This note reminds students that some of the gravest and most common health risks have nothing to do with cancer.  The drinking water contamination in Flint, Michigan, is one unfortunate example, where the consequences of lead poisoning are not cancer, but impairment of neurological development in children, with perhaps subtle but lifelong challenges for cognitive functioning.</w:t>
      </w:r>
    </w:p>
    <w:p w14:paraId="72211D32" w14:textId="77777777" w:rsidR="0070589C" w:rsidRDefault="0070589C" w:rsidP="0070589C">
      <w:pPr>
        <w:pStyle w:val="BodyText"/>
        <w:kinsoku w:val="0"/>
        <w:overflowPunct w:val="0"/>
        <w:spacing w:before="5"/>
        <w:ind w:right="540"/>
        <w:jc w:val="both"/>
      </w:pPr>
    </w:p>
    <w:p w14:paraId="7B6A06C3" w14:textId="77777777" w:rsidR="0070589C" w:rsidRDefault="0070589C" w:rsidP="0070589C">
      <w:pPr>
        <w:pStyle w:val="BodyText"/>
        <w:kinsoku w:val="0"/>
        <w:overflowPunct w:val="0"/>
        <w:spacing w:before="5"/>
        <w:ind w:right="540"/>
        <w:jc w:val="both"/>
      </w:pPr>
      <w:r>
        <w:tab/>
      </w:r>
      <w:r w:rsidRPr="00EE2319">
        <w:rPr>
          <w:b/>
        </w:rPr>
        <w:t>3. Dawn of the “dread.”</w:t>
      </w:r>
      <w:r>
        <w:t xml:space="preserve">  The note explains some of the differences in risk perception along with the challenges that these differences pose for risk management.  The fear of terrorism, for example, makes people universally submit to the most intrusive examinations of their own bodies while passing through airport security.  On the other hand, certain population segments dismiss concerns for COVID-19 (which has already killed more people in the United States than terrorists ever will) and refuse to take personal precautions advised by medical experts and ordered by health authorities.  The question at the end of this note invites class discussion on the best means for protecting public health, even when “more education” appears unlikely to change personal views.</w:t>
      </w:r>
    </w:p>
    <w:p w14:paraId="2D9273EE" w14:textId="77777777" w:rsidR="0070589C" w:rsidRDefault="0070589C" w:rsidP="0070589C">
      <w:pPr>
        <w:pStyle w:val="BodyText"/>
        <w:kinsoku w:val="0"/>
        <w:overflowPunct w:val="0"/>
        <w:spacing w:before="5"/>
        <w:ind w:right="540"/>
        <w:jc w:val="both"/>
      </w:pPr>
    </w:p>
    <w:p w14:paraId="66764C7F" w14:textId="77777777" w:rsidR="0070589C" w:rsidRPr="00C3365C" w:rsidRDefault="0070589C" w:rsidP="0070589C">
      <w:pPr>
        <w:pStyle w:val="BodyText"/>
        <w:kinsoku w:val="0"/>
        <w:overflowPunct w:val="0"/>
        <w:ind w:left="159" w:right="540" w:firstLine="720"/>
        <w:jc w:val="both"/>
      </w:pPr>
      <w:r w:rsidRPr="00C3365C">
        <w:t xml:space="preserve">One exercise to get the students thinking about relative risks, comparative risks, and risk perception is to break them into groups and have them rank various environmental concerns and various activities in order of severity. At the end of this chapter, we included two charts that you can use for this exercise, which serve roughly the same purpose: </w:t>
      </w:r>
      <w:r w:rsidRPr="00E727D2">
        <w:rPr>
          <w:b/>
          <w:bCs/>
        </w:rPr>
        <w:t>(1) A List of Environmental Concerns</w:t>
      </w:r>
      <w:r w:rsidRPr="00C3365C">
        <w:t>, that we ask students to rank, along with a chart showing how the public rank</w:t>
      </w:r>
      <w:r>
        <w:t>s</w:t>
      </w:r>
      <w:r w:rsidRPr="00C3365C">
        <w:t xml:space="preserve"> these concerns, and comparing it to EPA’s assessment of environmental concerns; </w:t>
      </w:r>
      <w:r w:rsidRPr="00E727D2">
        <w:rPr>
          <w:b/>
          <w:bCs/>
        </w:rPr>
        <w:t>(2) A List of Activities</w:t>
      </w:r>
      <w:r w:rsidRPr="00C3365C">
        <w:t>, that we ask students to rank, along with a chart showing what the actual risks from these activities are. It is usually instructive to compare the student’s rankings to those of experts. We then find it interesting to ask students to identify various factors that may influence their perception of risks. A chart listing various qualitative elements of risk is also attached, that you can hand out either before or after the preceding discussion. (We also discuss some of these qualitative factors in some of the questions below.)</w:t>
      </w:r>
    </w:p>
    <w:p w14:paraId="63619893" w14:textId="77777777" w:rsidR="0070589C" w:rsidRDefault="0070589C" w:rsidP="0070589C">
      <w:pPr>
        <w:pStyle w:val="BodyText"/>
        <w:kinsoku w:val="0"/>
        <w:overflowPunct w:val="0"/>
        <w:spacing w:before="5"/>
        <w:ind w:right="540"/>
      </w:pPr>
    </w:p>
    <w:p w14:paraId="32272395" w14:textId="77777777" w:rsidR="0070589C" w:rsidRPr="00D60CE4" w:rsidRDefault="0070589C" w:rsidP="0070589C">
      <w:pPr>
        <w:pStyle w:val="BodyText"/>
        <w:kinsoku w:val="0"/>
        <w:overflowPunct w:val="0"/>
        <w:spacing w:before="5"/>
        <w:ind w:right="540"/>
        <w:jc w:val="center"/>
        <w:rPr>
          <w:b/>
        </w:rPr>
      </w:pPr>
      <w:r w:rsidRPr="00D60CE4">
        <w:rPr>
          <w:b/>
        </w:rPr>
        <w:t>History of Risk at EPA (2004)</w:t>
      </w:r>
    </w:p>
    <w:p w14:paraId="228CDF5A" w14:textId="77777777" w:rsidR="0070589C" w:rsidRDefault="0070589C" w:rsidP="0070589C">
      <w:pPr>
        <w:pStyle w:val="BodyText"/>
        <w:kinsoku w:val="0"/>
        <w:overflowPunct w:val="0"/>
        <w:spacing w:before="5"/>
        <w:ind w:right="540"/>
        <w:jc w:val="center"/>
      </w:pPr>
    </w:p>
    <w:p w14:paraId="11613978" w14:textId="77777777" w:rsidR="0070589C" w:rsidRDefault="0070589C" w:rsidP="0070589C">
      <w:pPr>
        <w:pStyle w:val="BodyText"/>
        <w:kinsoku w:val="0"/>
        <w:overflowPunct w:val="0"/>
        <w:spacing w:before="5"/>
        <w:ind w:right="540"/>
        <w:jc w:val="both"/>
      </w:pPr>
      <w:r>
        <w:tab/>
        <w:t xml:space="preserve">This short excerpt and the notes that follow it demonstrate the development of risk assessment methodologies and some of the inherent policy choices that go into any effort toward quantitative risk assessment.  Quantitative risk assessment is typically the province of Ph.D. toxicologists and mathematicians.  Even so, lawyers and other EJ advocates may </w:t>
      </w:r>
      <w:r>
        <w:lastRenderedPageBreak/>
        <w:t xml:space="preserve">often contribute meaningfully to risk assessment by asking relatively simple questions suggested the basic risk assessment model depicted at Figure 3-2.  The model might be best explored in the classroom through use of a hypothetical such as the one below.  After consideration of this hypothetical, students may be encouraged to brainstorm questions they might believe important for an assessment of related health risks.  A sample of such questions also appears below. </w:t>
      </w:r>
    </w:p>
    <w:p w14:paraId="59E665CB" w14:textId="77777777" w:rsidR="0070589C" w:rsidRDefault="0070589C" w:rsidP="0070589C">
      <w:pPr>
        <w:pStyle w:val="BodyText"/>
        <w:kinsoku w:val="0"/>
        <w:overflowPunct w:val="0"/>
        <w:spacing w:before="5"/>
        <w:ind w:right="540"/>
        <w:jc w:val="both"/>
      </w:pPr>
    </w:p>
    <w:p w14:paraId="76DBF53C" w14:textId="77777777" w:rsidR="0070589C" w:rsidRPr="005364AE" w:rsidRDefault="0070589C" w:rsidP="0070589C">
      <w:pPr>
        <w:pStyle w:val="BodyText"/>
        <w:kinsoku w:val="0"/>
        <w:overflowPunct w:val="0"/>
        <w:spacing w:before="5"/>
        <w:ind w:left="720" w:right="540"/>
        <w:jc w:val="both"/>
        <w:rPr>
          <w:i/>
        </w:rPr>
      </w:pPr>
      <w:r w:rsidRPr="005364AE">
        <w:rPr>
          <w:i/>
        </w:rPr>
        <w:t xml:space="preserve">A new distribution center in eastern Oklahoma employs 1,200 full-time workers, although most workers receive minimum wage.  Workers cannot afford to buy houses or rent apartments in town, so many of them live in a trailer park outside of town.  Residents of the trailer park are 45% Latino, 25% African-American, and 24% Native American.  The mean age of residents is 28 years of age, with 34% under the age of 18.  The trailer park was built on the site of a former lead-zinc mine.  Lead contamination in the soil does not appear to be a problem, but EPA recently discovered arsenic in the soils, at an average of 58 parts per million.   </w:t>
      </w:r>
    </w:p>
    <w:p w14:paraId="6F5BEC7D" w14:textId="77777777" w:rsidR="0070589C" w:rsidRDefault="0070589C" w:rsidP="0070589C">
      <w:pPr>
        <w:pStyle w:val="BodyText"/>
        <w:kinsoku w:val="0"/>
        <w:overflowPunct w:val="0"/>
        <w:spacing w:before="5"/>
        <w:ind w:left="720" w:right="540"/>
        <w:jc w:val="both"/>
      </w:pPr>
    </w:p>
    <w:p w14:paraId="348C749E" w14:textId="77777777" w:rsidR="0070589C" w:rsidRDefault="0070589C" w:rsidP="0070589C">
      <w:pPr>
        <w:pStyle w:val="BodyText"/>
        <w:kinsoku w:val="0"/>
        <w:overflowPunct w:val="0"/>
        <w:spacing w:before="5"/>
        <w:ind w:left="720" w:right="540"/>
        <w:jc w:val="both"/>
      </w:pPr>
      <w:r w:rsidRPr="00226755">
        <w:rPr>
          <w:b/>
        </w:rPr>
        <w:t>Hazard Identification:</w:t>
      </w:r>
      <w:r>
        <w:t xml:space="preserve">  What are the hazards to human health associated with arsenic in general?  Do the risks vary according to different forms of arsenic?  Is arsenic in soil the same risk as arsenic in drinking water?  Are there risks of both cancer and non-cancer health impacts?</w:t>
      </w:r>
    </w:p>
    <w:p w14:paraId="0B6298F5" w14:textId="77777777" w:rsidR="0070589C" w:rsidRDefault="0070589C" w:rsidP="0070589C">
      <w:pPr>
        <w:pStyle w:val="BodyText"/>
        <w:kinsoku w:val="0"/>
        <w:overflowPunct w:val="0"/>
        <w:spacing w:before="5"/>
        <w:ind w:left="720" w:right="540"/>
        <w:jc w:val="both"/>
      </w:pPr>
    </w:p>
    <w:p w14:paraId="6092B463" w14:textId="77777777" w:rsidR="0070589C" w:rsidRDefault="0070589C" w:rsidP="0070589C">
      <w:pPr>
        <w:pStyle w:val="BodyText"/>
        <w:kinsoku w:val="0"/>
        <w:overflowPunct w:val="0"/>
        <w:spacing w:before="5"/>
        <w:ind w:left="720" w:right="540"/>
        <w:jc w:val="both"/>
      </w:pPr>
      <w:r w:rsidRPr="00226755">
        <w:rPr>
          <w:b/>
        </w:rPr>
        <w:t xml:space="preserve">Dose-Response Assessment:  </w:t>
      </w:r>
      <w:r>
        <w:t>What is the toxicity associated with 58 ppm arsenic? Are there concentrations where no risks may be expected?  At what concentration would health impacts be expected?  Is there a concentration posing risk of death?</w:t>
      </w:r>
    </w:p>
    <w:p w14:paraId="771F1B72" w14:textId="77777777" w:rsidR="0070589C" w:rsidRDefault="0070589C" w:rsidP="0070589C">
      <w:pPr>
        <w:pStyle w:val="BodyText"/>
        <w:kinsoku w:val="0"/>
        <w:overflowPunct w:val="0"/>
        <w:spacing w:before="5"/>
        <w:ind w:left="720" w:right="540"/>
        <w:jc w:val="both"/>
      </w:pPr>
    </w:p>
    <w:p w14:paraId="7F6CCA50" w14:textId="77777777" w:rsidR="0070589C" w:rsidRDefault="0070589C" w:rsidP="0070589C">
      <w:pPr>
        <w:pStyle w:val="BodyText"/>
        <w:kinsoku w:val="0"/>
        <w:overflowPunct w:val="0"/>
        <w:spacing w:before="5"/>
        <w:ind w:left="720" w:right="540"/>
        <w:jc w:val="both"/>
      </w:pPr>
      <w:r w:rsidRPr="00226755">
        <w:rPr>
          <w:b/>
        </w:rPr>
        <w:t>Exposure Assessment:</w:t>
      </w:r>
      <w:r>
        <w:t xml:space="preserve">  Consider here the factors of </w:t>
      </w:r>
      <w:r w:rsidRPr="00226755">
        <w:rPr>
          <w:b/>
        </w:rPr>
        <w:t>duration</w:t>
      </w:r>
      <w:r>
        <w:t xml:space="preserve"> and </w:t>
      </w:r>
      <w:r w:rsidRPr="00226755">
        <w:rPr>
          <w:b/>
        </w:rPr>
        <w:t>pathways</w:t>
      </w:r>
      <w:r>
        <w:t xml:space="preserve">.  </w:t>
      </w:r>
      <w:r w:rsidRPr="00226755">
        <w:rPr>
          <w:b/>
        </w:rPr>
        <w:t>Duration</w:t>
      </w:r>
      <w:r>
        <w:t xml:space="preserve">:  How many hours per day would workers be home in the trailer park?  How long would they be expected to live there before they move on?  While in the trailer park, would they be expected to engage in any activities involving direct contact with soils?  Do residents engage in gardening?  Do they fix cars in an unpaved driveway?  How many children live there?  How many hours per day do they play outside?  </w:t>
      </w:r>
      <w:r w:rsidRPr="00226755">
        <w:rPr>
          <w:b/>
        </w:rPr>
        <w:t>Pathways</w:t>
      </w:r>
      <w:r>
        <w:t>:  How may arsenic in soils get inside the human bodies where it may cause harm?  Do kids play in the dirt and then put fingers in their mouth?  Do dry and windy conditions present the potential for arsenic to be inhaled as dust?  Can the arsenic leach into groundwater?  Has the drinking water been tested for arsenic?  When was the latest test?  What were the results?  Can arsenic be absorbed through the skin?  Is there a test for arsenic poisoning?  What does that look like?</w:t>
      </w:r>
    </w:p>
    <w:p w14:paraId="0B9A6078" w14:textId="77777777" w:rsidR="0070589C" w:rsidRDefault="0070589C" w:rsidP="0070589C">
      <w:pPr>
        <w:pStyle w:val="BodyText"/>
        <w:kinsoku w:val="0"/>
        <w:overflowPunct w:val="0"/>
        <w:spacing w:before="5"/>
        <w:ind w:left="720" w:right="540"/>
        <w:jc w:val="both"/>
      </w:pPr>
    </w:p>
    <w:p w14:paraId="3C738362" w14:textId="77777777" w:rsidR="0070589C" w:rsidRDefault="0070589C" w:rsidP="0070589C">
      <w:pPr>
        <w:pStyle w:val="BodyText"/>
        <w:kinsoku w:val="0"/>
        <w:overflowPunct w:val="0"/>
        <w:spacing w:before="5"/>
        <w:ind w:left="720" w:right="540"/>
        <w:jc w:val="both"/>
      </w:pPr>
      <w:r w:rsidRPr="00226755">
        <w:rPr>
          <w:b/>
        </w:rPr>
        <w:t>Risk Characterization:</w:t>
      </w:r>
      <w:r>
        <w:t xml:space="preserve">  Considering all of the above factors, what is the extra risk to workers or children for adverse health consequences as a result of exposure to the arsenic?  How do these risks compare to the same risks absent the exposure to arsenic?</w:t>
      </w:r>
    </w:p>
    <w:p w14:paraId="36840B63" w14:textId="77777777" w:rsidR="0070589C" w:rsidRDefault="0070589C" w:rsidP="0070589C">
      <w:pPr>
        <w:pStyle w:val="BodyText"/>
        <w:kinsoku w:val="0"/>
        <w:overflowPunct w:val="0"/>
        <w:spacing w:before="5"/>
        <w:ind w:right="540"/>
        <w:jc w:val="center"/>
      </w:pPr>
    </w:p>
    <w:p w14:paraId="02B5A511" w14:textId="77777777" w:rsidR="0070589C" w:rsidRDefault="0070589C" w:rsidP="0070589C">
      <w:pPr>
        <w:pStyle w:val="BodyText"/>
        <w:kinsoku w:val="0"/>
        <w:overflowPunct w:val="0"/>
        <w:spacing w:before="5"/>
        <w:ind w:right="540"/>
        <w:jc w:val="center"/>
      </w:pPr>
      <w:r>
        <w:t xml:space="preserve">Robert R. Kuehn, </w:t>
      </w:r>
      <w:r w:rsidRPr="0048253A">
        <w:rPr>
          <w:i/>
          <w:iCs/>
        </w:rPr>
        <w:t>The Environmental Justice Implications of Quantitative Risk Assessment</w:t>
      </w:r>
      <w:r>
        <w:t xml:space="preserve">, </w:t>
      </w:r>
      <w:r w:rsidRPr="0048253A">
        <w:rPr>
          <w:smallCaps/>
        </w:rPr>
        <w:t>University of Illinois L. Rev. 103</w:t>
      </w:r>
      <w:r>
        <w:t xml:space="preserve"> (1996); Cary Coglianese &amp; Gary E. Marchant, </w:t>
      </w:r>
      <w:r w:rsidRPr="00496B1A">
        <w:rPr>
          <w:i/>
        </w:rPr>
        <w:t xml:space="preserve">Shifting Sands: </w:t>
      </w:r>
      <w:r w:rsidRPr="00496B1A">
        <w:rPr>
          <w:i/>
          <w:iCs/>
        </w:rPr>
        <w:t>The</w:t>
      </w:r>
      <w:r w:rsidRPr="0048253A">
        <w:rPr>
          <w:i/>
          <w:iCs/>
        </w:rPr>
        <w:t xml:space="preserve"> Limits of Science in Setting Risk Standards</w:t>
      </w:r>
      <w:r>
        <w:t xml:space="preserve">, </w:t>
      </w:r>
      <w:r w:rsidRPr="0048253A">
        <w:rPr>
          <w:smallCaps/>
        </w:rPr>
        <w:t xml:space="preserve">152 University of </w:t>
      </w:r>
      <w:r w:rsidRPr="0048253A">
        <w:rPr>
          <w:smallCaps/>
        </w:rPr>
        <w:lastRenderedPageBreak/>
        <w:t>Pennsylvania L. Rev</w:t>
      </w:r>
      <w:r>
        <w:t>. 1255, 1325-40 (2004).</w:t>
      </w:r>
    </w:p>
    <w:p w14:paraId="0D8A3753" w14:textId="77777777" w:rsidR="0070589C" w:rsidRDefault="0070589C" w:rsidP="0070589C">
      <w:pPr>
        <w:pStyle w:val="BodyText"/>
        <w:kinsoku w:val="0"/>
        <w:overflowPunct w:val="0"/>
        <w:ind w:left="159" w:right="540" w:firstLine="720"/>
        <w:jc w:val="both"/>
      </w:pPr>
    </w:p>
    <w:p w14:paraId="0A791CD6" w14:textId="77777777" w:rsidR="0070589C" w:rsidRPr="0048253A" w:rsidRDefault="0070589C" w:rsidP="0070589C">
      <w:pPr>
        <w:pStyle w:val="BodyText"/>
        <w:kinsoku w:val="0"/>
        <w:overflowPunct w:val="0"/>
        <w:spacing w:before="5"/>
        <w:ind w:right="540"/>
        <w:jc w:val="center"/>
        <w:rPr>
          <w:b/>
          <w:bCs/>
          <w:i/>
          <w:iCs/>
          <w:sz w:val="28"/>
          <w:szCs w:val="28"/>
        </w:rPr>
      </w:pPr>
      <w:r w:rsidRPr="0048253A">
        <w:rPr>
          <w:b/>
          <w:bCs/>
          <w:i/>
          <w:iCs/>
          <w:sz w:val="28"/>
          <w:szCs w:val="28"/>
        </w:rPr>
        <w:t>Notes and Questions</w:t>
      </w:r>
    </w:p>
    <w:p w14:paraId="6353F244" w14:textId="77777777" w:rsidR="0070589C" w:rsidRPr="00B1202C" w:rsidRDefault="0070589C" w:rsidP="0070589C">
      <w:pPr>
        <w:pStyle w:val="BodyText"/>
        <w:kinsoku w:val="0"/>
        <w:overflowPunct w:val="0"/>
        <w:spacing w:before="5"/>
        <w:jc w:val="both"/>
      </w:pPr>
    </w:p>
    <w:p w14:paraId="49A6B4AA" w14:textId="64769570" w:rsidR="0070589C" w:rsidRPr="00C3365C" w:rsidRDefault="0070589C" w:rsidP="0070589C">
      <w:pPr>
        <w:pStyle w:val="BodyText"/>
        <w:kinsoku w:val="0"/>
        <w:overflowPunct w:val="0"/>
        <w:spacing w:before="42"/>
        <w:ind w:left="43" w:right="540" w:firstLine="677"/>
        <w:jc w:val="both"/>
      </w:pPr>
      <w:r w:rsidRPr="0048253A">
        <w:rPr>
          <w:b/>
          <w:bCs/>
        </w:rPr>
        <w:t>1.</w:t>
      </w:r>
      <w:r>
        <w:t xml:space="preserve"> </w:t>
      </w:r>
      <w:r w:rsidRPr="0048253A">
        <w:rPr>
          <w:b/>
          <w:bCs/>
        </w:rPr>
        <w:t>Transparency.</w:t>
      </w:r>
      <w:r>
        <w:t xml:space="preserve"> In this 1996 article, </w:t>
      </w:r>
      <w:r w:rsidRPr="00C3365C">
        <w:t>Professor Kuehn</w:t>
      </w:r>
      <w:r>
        <w:t xml:space="preserve"> prophetically notes </w:t>
      </w:r>
      <w:r w:rsidRPr="00C3365C">
        <w:t xml:space="preserve">that “some form of risk assessment is not just here to stay, but </w:t>
      </w:r>
      <w:r>
        <w:t xml:space="preserve">… </w:t>
      </w:r>
      <w:r w:rsidRPr="00C3365C">
        <w:t>is likely to increase in use</w:t>
      </w:r>
      <w:r>
        <w:t>.</w:t>
      </w:r>
      <w:r w:rsidRPr="00C3365C">
        <w:t xml:space="preserve">” </w:t>
      </w:r>
      <w:r>
        <w:t>He thus advanced</w:t>
      </w:r>
      <w:r w:rsidRPr="00C3365C">
        <w:t xml:space="preserve"> numerous suggestions for reforming the risk assessment process. For example, he propose</w:t>
      </w:r>
      <w:r>
        <w:t>d</w:t>
      </w:r>
      <w:r w:rsidRPr="00C3365C">
        <w:t xml:space="preserve"> that distributional information (the demographic characteristics of the populations at risk) and information on multiple and cumulative exposures be included in all risk as</w:t>
      </w:r>
      <w:r>
        <w:t>sessments. Another suggestion was</w:t>
      </w:r>
      <w:r w:rsidRPr="00C3365C">
        <w:t xml:space="preserve"> to provide for meaningful public participation at all stages of the risk assessment process, including its design, data collection, and analysis. He also recom</w:t>
      </w:r>
      <w:r>
        <w:t>mended</w:t>
      </w:r>
      <w:r w:rsidRPr="00C3365C">
        <w:t xml:space="preserve"> that risk assessment should inform the</w:t>
      </w:r>
      <w:r w:rsidRPr="00C3365C">
        <w:rPr>
          <w:spacing w:val="-25"/>
        </w:rPr>
        <w:t xml:space="preserve"> </w:t>
      </w:r>
      <w:r w:rsidRPr="00C3365C">
        <w:t xml:space="preserve">public about the pervasive uncertainties underlying the risk assessment process, suggesting that “[w]hen these unknown factors and assumptions are revealed, the public may see the lack of confidence in the estimates and may well question the reliability and relevance of risk assessment in resolving questions about environmental exposures.” </w:t>
      </w:r>
      <w:r w:rsidRPr="3A95F3E5">
        <w:rPr>
          <w:i/>
          <w:iCs/>
        </w:rPr>
        <w:t>Id</w:t>
      </w:r>
      <w:r w:rsidRPr="00C3365C">
        <w:t>. at 150-153, 1</w:t>
      </w:r>
      <w:r>
        <w:t xml:space="preserve">58-166. The latter suggestion essentially </w:t>
      </w:r>
      <w:r w:rsidRPr="00C3365C">
        <w:t>call</w:t>
      </w:r>
      <w:r>
        <w:t>ed</w:t>
      </w:r>
      <w:r w:rsidRPr="00C3365C">
        <w:t xml:space="preserve"> for greater transparency in the risk assessment enterprise.  </w:t>
      </w:r>
    </w:p>
    <w:p w14:paraId="72EE9DEB" w14:textId="130BF117" w:rsidR="0070589C" w:rsidRPr="00C3365C" w:rsidRDefault="0070589C" w:rsidP="0070589C">
      <w:pPr>
        <w:pStyle w:val="BodyText"/>
        <w:kinsoku w:val="0"/>
        <w:overflowPunct w:val="0"/>
        <w:spacing w:before="42"/>
        <w:ind w:left="43" w:right="540" w:firstLine="677"/>
        <w:jc w:val="both"/>
      </w:pPr>
    </w:p>
    <w:p w14:paraId="144A7CA5" w14:textId="5CD7ACF1" w:rsidR="0070589C" w:rsidRPr="00C3365C" w:rsidRDefault="0070589C" w:rsidP="3A95F3E5">
      <w:pPr>
        <w:pStyle w:val="BodyText"/>
        <w:kinsoku w:val="0"/>
        <w:overflowPunct w:val="0"/>
        <w:spacing w:before="240" w:after="240"/>
        <w:ind w:firstLine="720"/>
      </w:pPr>
      <w:r w:rsidRPr="3A95F3E5">
        <w:rPr>
          <w:b/>
          <w:bCs/>
        </w:rPr>
        <w:t xml:space="preserve">2. Susceptibility. </w:t>
      </w:r>
      <w:r w:rsidRPr="00C3365C">
        <w:t xml:space="preserve"> </w:t>
      </w:r>
      <w:r w:rsidR="3A95F3E5" w:rsidRPr="3A95F3E5">
        <w:t>The susceptibility question strikes at a fundamental tension in how regulatory agencies approach risk: should protective standards reflect the “average” person, or must they account for those most vulnerable to harm? Differential susceptibility matters enormously for environmental justice because the populations bearing disproportionate pollution burdens often simultaneously carry heightened susceptibility. Consider a community adjacent to a refinery where residents experience elevated asthma rates. Children in that community face compounded vulnerability, their developing respiratory systems are inherently more susceptible to air pollutants, and if they are also African American, they face documented higher baseline asthma prevalence and severity. A pregnant woman in the same community confronts risks not merely to herself but to her developing fetus during critical windows of organogenesis when even low-level exposures can produce lasting effects.</w:t>
      </w:r>
    </w:p>
    <w:p w14:paraId="1FF1B1AF" w14:textId="75F9C443" w:rsidR="0070589C" w:rsidRPr="00C3365C" w:rsidRDefault="3A95F3E5" w:rsidP="3A95F3E5">
      <w:pPr>
        <w:kinsoku w:val="0"/>
        <w:overflowPunct w:val="0"/>
        <w:spacing w:before="240" w:after="240"/>
        <w:ind w:firstLine="720"/>
        <w:rPr>
          <w:sz w:val="24"/>
          <w:szCs w:val="24"/>
        </w:rPr>
      </w:pPr>
      <w:r w:rsidRPr="3A95F3E5">
        <w:rPr>
          <w:sz w:val="24"/>
          <w:szCs w:val="24"/>
        </w:rPr>
        <w:t>The regulatory implications are significant. Traditional risk assessment often relies on reference doses and exposure limits derived from studies of healthy adult males. This approach essentially asks: what level of contamination can a robust person tolerate? But that framing misses the reality that environmental justice communities frequently include higher proportions of children, elderly residents, people with pre-existing conditions, and individuals whose cumulative life circumstances have already compromised their health reserves. Professor Kuehn’s emphasis on genetic predisposition raises additional complexity. We now understand that genetic polymorphisms affect how individuals metabolize toxicants—some people lack enzymes that would otherwise detoxify certain chemicals. Should regulatory standards protect those with the least favorable genetic profiles? The answer has distributional consequences. If we set standards only for the genetically “average,” we necessarily accept that a subset of the population will remain inadequately protected. From an environmental justice standpoint, susceptibility analysis demands that we ask not just “how toxic is this chemical?” but “how toxic is this chemical to the actual people living with these exposures?” This reframing shifts the inquiry from abstract toxicology toward the embodied reality of community health.</w:t>
      </w:r>
    </w:p>
    <w:p w14:paraId="6E4A213A" w14:textId="6C460F77" w:rsidR="0070589C" w:rsidRPr="00C3365C" w:rsidRDefault="3A95F3E5" w:rsidP="3A95F3E5">
      <w:pPr>
        <w:pStyle w:val="BodyText"/>
        <w:kinsoku w:val="0"/>
        <w:overflowPunct w:val="0"/>
        <w:spacing w:before="42"/>
        <w:ind w:right="540"/>
        <w:jc w:val="both"/>
      </w:pPr>
      <w:r w:rsidRPr="3A95F3E5">
        <w:rPr>
          <w:b/>
          <w:bCs/>
        </w:rPr>
        <w:lastRenderedPageBreak/>
        <w:t>3. Exposure.</w:t>
      </w:r>
      <w:r w:rsidRPr="3A95F3E5">
        <w:t xml:space="preserve"> Regulating to protect the maximally exposed individual seems intuitively protective but carries significant drawbacks. Standards calibrated to worst-case scenarios may appear economically infeasible, prompting agencies to abandon them entirely or grant sweeping exemptions, leaving environmental justice communities worse off than under moderate but actually implemented protections. The approach also obscures who the maximally exposed actually are, allowing technical risk calculations to proceed without acknowledging that those facing highest exposures are disproportionately low-income communities and communities of color. Perhaps most critically, identifying “maximum” exposure depends entirely on which pathways regulators examine; assessments focusing on inhalation miss the subsistence fisher consuming contaminated catch daily, and traditional methods have systematically undervalued exposure pathways common among Indigenous peoples, immigrants, and the poor who hunt, fish, and gather rather than purchasing supermarket food.</w:t>
      </w:r>
    </w:p>
    <w:p w14:paraId="167067BC" w14:textId="1FAB4A95" w:rsidR="0070589C" w:rsidRPr="00C3365C" w:rsidRDefault="0070589C" w:rsidP="3A95F3E5">
      <w:pPr>
        <w:pStyle w:val="BodyText"/>
        <w:kinsoku w:val="0"/>
        <w:overflowPunct w:val="0"/>
        <w:spacing w:before="42"/>
        <w:ind w:right="540"/>
        <w:jc w:val="both"/>
      </w:pPr>
    </w:p>
    <w:p w14:paraId="47A7D930" w14:textId="2AC74398" w:rsidR="0070589C" w:rsidRPr="00C3365C" w:rsidRDefault="3A95F3E5" w:rsidP="3A95F3E5">
      <w:pPr>
        <w:pStyle w:val="BodyText"/>
        <w:kinsoku w:val="0"/>
        <w:overflowPunct w:val="0"/>
        <w:spacing w:before="42"/>
        <w:ind w:right="540"/>
        <w:jc w:val="both"/>
      </w:pPr>
      <w:r w:rsidRPr="3A95F3E5">
        <w:rPr>
          <w:b/>
          <w:bCs/>
        </w:rPr>
        <w:t>4. Exaggerated Risks?</w:t>
      </w:r>
      <w:r>
        <w:t xml:space="preserve"> </w:t>
      </w:r>
      <w:r w:rsidRPr="3A95F3E5">
        <w:t>The “cascading conservatism” critique that compounding conservative assumptions at each step of risk assessment produces unrealistic overestimates deserves skepticism from an environmental justice perspective. What appears as independent conservative assumptions may actually reflect correlated realities: the community with high exposure is often the same community with high susceptibility, limited healthcare access, inadequate nutrition, and chronic stress, meaning these factors compound rather than offset each other. The critique also focuses exclusively on overregulation costs while ignoring underregulation’s toll in disease and death among communities that never consented to bear those risks. Most fundamentally, as Professor O’Neill argues, the critique asks the wrong question, not “are we overestimating risk?” but “who bears the risk, and did they consent?” Even if aggregate estimates overstate average population harm, they may accurately or understate harm to specific communities whose exposure pathways, susceptibilities, and cumulative burdens have historically fallen outside regulatory attention.</w:t>
      </w:r>
    </w:p>
    <w:p w14:paraId="4B948138" w14:textId="5B9FE319" w:rsidR="0070589C" w:rsidRPr="00C3365C" w:rsidRDefault="0070589C" w:rsidP="0070589C">
      <w:pPr>
        <w:pStyle w:val="BodyText"/>
        <w:kinsoku w:val="0"/>
        <w:overflowPunct w:val="0"/>
        <w:spacing w:before="42"/>
        <w:ind w:left="43" w:right="540" w:firstLine="677"/>
        <w:jc w:val="both"/>
      </w:pPr>
    </w:p>
    <w:p w14:paraId="26820135" w14:textId="77777777" w:rsidR="0070589C" w:rsidRPr="00C3365C" w:rsidRDefault="0070589C" w:rsidP="0070589C">
      <w:pPr>
        <w:pStyle w:val="BodyText"/>
        <w:kinsoku w:val="0"/>
        <w:overflowPunct w:val="0"/>
        <w:spacing w:before="42"/>
        <w:ind w:left="43" w:right="540" w:firstLine="677"/>
        <w:jc w:val="both"/>
      </w:pPr>
      <w:r w:rsidRPr="00C3365C">
        <w:t>How do you think industry stakeholders and gove</w:t>
      </w:r>
      <w:r>
        <w:t xml:space="preserve">rnment regulators </w:t>
      </w:r>
      <w:r w:rsidRPr="00C3365C">
        <w:t>react</w:t>
      </w:r>
      <w:r>
        <w:t>ed</w:t>
      </w:r>
      <w:r w:rsidRPr="00C3365C">
        <w:t xml:space="preserve"> to these proposals?</w:t>
      </w:r>
    </w:p>
    <w:p w14:paraId="6475144F" w14:textId="77777777" w:rsidR="0070589C" w:rsidRPr="00C3365C" w:rsidRDefault="0070589C" w:rsidP="0070589C">
      <w:pPr>
        <w:pStyle w:val="BodyText"/>
        <w:kinsoku w:val="0"/>
        <w:overflowPunct w:val="0"/>
        <w:spacing w:before="11"/>
        <w:jc w:val="both"/>
        <w:rPr>
          <w:b/>
          <w:bCs/>
        </w:rPr>
      </w:pPr>
    </w:p>
    <w:p w14:paraId="7A991488" w14:textId="77777777" w:rsidR="0070589C" w:rsidRPr="00C3365C" w:rsidRDefault="0070589C" w:rsidP="0070589C">
      <w:pPr>
        <w:pStyle w:val="ListParagraph"/>
        <w:numPr>
          <w:ilvl w:val="0"/>
          <w:numId w:val="11"/>
        </w:numPr>
        <w:tabs>
          <w:tab w:val="left" w:pos="880"/>
        </w:tabs>
        <w:kinsoku w:val="0"/>
        <w:overflowPunct w:val="0"/>
        <w:spacing w:before="59"/>
        <w:ind w:right="946"/>
        <w:jc w:val="both"/>
      </w:pPr>
      <w:r w:rsidRPr="00C3365C">
        <w:t>One</w:t>
      </w:r>
      <w:r w:rsidRPr="00C3365C">
        <w:rPr>
          <w:spacing w:val="-4"/>
        </w:rPr>
        <w:t xml:space="preserve"> </w:t>
      </w:r>
      <w:r w:rsidRPr="00C3365C">
        <w:t>reason</w:t>
      </w:r>
      <w:r w:rsidRPr="00C3365C">
        <w:rPr>
          <w:spacing w:val="-2"/>
        </w:rPr>
        <w:t xml:space="preserve"> </w:t>
      </w:r>
      <w:r w:rsidRPr="00C3365C">
        <w:t>that</w:t>
      </w:r>
      <w:r w:rsidRPr="00C3365C">
        <w:rPr>
          <w:spacing w:val="-2"/>
        </w:rPr>
        <w:t xml:space="preserve"> </w:t>
      </w:r>
      <w:r w:rsidRPr="00C3365C">
        <w:t>indust</w:t>
      </w:r>
      <w:r>
        <w:t>ries</w:t>
      </w:r>
      <w:r w:rsidRPr="00C3365C">
        <w:rPr>
          <w:spacing w:val="-11"/>
        </w:rPr>
        <w:t xml:space="preserve"> </w:t>
      </w:r>
      <w:r w:rsidRPr="00C3365C">
        <w:t>(as</w:t>
      </w:r>
      <w:r w:rsidRPr="00C3365C">
        <w:rPr>
          <w:spacing w:val="-1"/>
        </w:rPr>
        <w:t xml:space="preserve"> </w:t>
      </w:r>
      <w:r w:rsidRPr="00C3365C">
        <w:t>well</w:t>
      </w:r>
      <w:r w:rsidRPr="00C3365C">
        <w:rPr>
          <w:spacing w:val="-2"/>
        </w:rPr>
        <w:t xml:space="preserve"> </w:t>
      </w:r>
      <w:r w:rsidRPr="00C3365C">
        <w:t>as</w:t>
      </w:r>
      <w:r w:rsidRPr="00C3365C">
        <w:rPr>
          <w:spacing w:val="-2"/>
        </w:rPr>
        <w:t xml:space="preserve"> </w:t>
      </w:r>
      <w:r w:rsidRPr="00C3365C">
        <w:t>government</w:t>
      </w:r>
      <w:r w:rsidRPr="00C3365C">
        <w:rPr>
          <w:spacing w:val="-2"/>
        </w:rPr>
        <w:t xml:space="preserve"> </w:t>
      </w:r>
      <w:r w:rsidRPr="00C3365C">
        <w:t>agencies)</w:t>
      </w:r>
      <w:r w:rsidRPr="00C3365C">
        <w:rPr>
          <w:spacing w:val="-5"/>
        </w:rPr>
        <w:t xml:space="preserve"> </w:t>
      </w:r>
      <w:r w:rsidRPr="00C3365C">
        <w:t>may</w:t>
      </w:r>
      <w:r w:rsidRPr="00C3365C">
        <w:rPr>
          <w:spacing w:val="-10"/>
        </w:rPr>
        <w:t xml:space="preserve"> </w:t>
      </w:r>
      <w:r w:rsidRPr="00C3365C">
        <w:t>oppose</w:t>
      </w:r>
      <w:r w:rsidRPr="00C3365C">
        <w:rPr>
          <w:spacing w:val="-5"/>
        </w:rPr>
        <w:t xml:space="preserve"> </w:t>
      </w:r>
      <w:r w:rsidRPr="00C3365C">
        <w:t>these</w:t>
      </w:r>
      <w:r w:rsidRPr="00C3365C">
        <w:rPr>
          <w:spacing w:val="-5"/>
        </w:rPr>
        <w:t xml:space="preserve"> </w:t>
      </w:r>
      <w:r w:rsidRPr="00C3365C">
        <w:t>proposals</w:t>
      </w:r>
      <w:r w:rsidRPr="00C3365C">
        <w:rPr>
          <w:spacing w:val="-2"/>
        </w:rPr>
        <w:t xml:space="preserve"> </w:t>
      </w:r>
      <w:r w:rsidRPr="00C3365C">
        <w:t>is skepticism about the ability of the public to accurately understand and interpret risk information. Many stakeholders in these camps believe that the public, by focusing</w:t>
      </w:r>
      <w:r w:rsidRPr="00C3365C">
        <w:rPr>
          <w:spacing w:val="-26"/>
        </w:rPr>
        <w:t xml:space="preserve"> </w:t>
      </w:r>
      <w:r w:rsidRPr="00C3365C">
        <w:t>on</w:t>
      </w:r>
      <w:bookmarkStart w:id="13" w:name="Page_53"/>
      <w:bookmarkEnd w:id="13"/>
      <w:r w:rsidRPr="00C3365C">
        <w:t xml:space="preserve"> non-quantitative aspects of risk as opposed to just numerical probabilities, greatly exaggerates the risks posed by most industrial facilities. </w:t>
      </w:r>
    </w:p>
    <w:p w14:paraId="5DB58C95" w14:textId="77777777" w:rsidR="0070589C" w:rsidRPr="00C3365C" w:rsidRDefault="0070589C" w:rsidP="0070589C">
      <w:pPr>
        <w:tabs>
          <w:tab w:val="left" w:pos="880"/>
        </w:tabs>
        <w:kinsoku w:val="0"/>
        <w:overflowPunct w:val="0"/>
        <w:spacing w:before="59"/>
        <w:ind w:left="160" w:right="946"/>
        <w:jc w:val="both"/>
      </w:pPr>
    </w:p>
    <w:p w14:paraId="18DF0E9E" w14:textId="77777777" w:rsidR="0070589C" w:rsidRPr="00C13864" w:rsidRDefault="0070589C" w:rsidP="0070589C">
      <w:pPr>
        <w:tabs>
          <w:tab w:val="left" w:pos="880"/>
        </w:tabs>
        <w:kinsoku w:val="0"/>
        <w:overflowPunct w:val="0"/>
        <w:spacing w:before="59"/>
        <w:ind w:left="160" w:right="946"/>
        <w:jc w:val="both"/>
        <w:rPr>
          <w:sz w:val="24"/>
          <w:szCs w:val="24"/>
        </w:rPr>
      </w:pPr>
      <w:r w:rsidRPr="00C13864">
        <w:rPr>
          <w:sz w:val="24"/>
          <w:szCs w:val="24"/>
        </w:rPr>
        <w:t>Consider asking the class about the pros and cons of risk assessment:</w:t>
      </w:r>
    </w:p>
    <w:p w14:paraId="404078BF" w14:textId="77777777" w:rsidR="0070589C" w:rsidRPr="00C3365C" w:rsidRDefault="0070589C" w:rsidP="0070589C">
      <w:pPr>
        <w:pStyle w:val="BodyText"/>
        <w:kinsoku w:val="0"/>
        <w:overflowPunct w:val="0"/>
        <w:jc w:val="both"/>
      </w:pPr>
    </w:p>
    <w:p w14:paraId="04651DD1" w14:textId="77777777" w:rsidR="0070589C" w:rsidRPr="00C3365C" w:rsidRDefault="0070589C" w:rsidP="0070589C">
      <w:pPr>
        <w:pStyle w:val="Heading1"/>
        <w:kinsoku w:val="0"/>
        <w:overflowPunct w:val="0"/>
        <w:spacing w:before="58"/>
        <w:ind w:left="879"/>
        <w:jc w:val="both"/>
      </w:pPr>
      <w:r w:rsidRPr="00C3365C">
        <w:t>Pros:</w:t>
      </w:r>
    </w:p>
    <w:p w14:paraId="36359A04" w14:textId="77777777" w:rsidR="0070589C" w:rsidRPr="00C3365C" w:rsidRDefault="0070589C" w:rsidP="0070589C">
      <w:pPr>
        <w:pStyle w:val="BodyText"/>
        <w:kinsoku w:val="0"/>
        <w:overflowPunct w:val="0"/>
        <w:jc w:val="both"/>
        <w:rPr>
          <w:b/>
          <w:bCs/>
        </w:rPr>
      </w:pPr>
    </w:p>
    <w:p w14:paraId="4162630B" w14:textId="77777777" w:rsidR="0070589C" w:rsidRPr="00C3365C" w:rsidRDefault="0070589C" w:rsidP="0070589C">
      <w:pPr>
        <w:pStyle w:val="ListParagraph"/>
        <w:numPr>
          <w:ilvl w:val="0"/>
          <w:numId w:val="11"/>
        </w:numPr>
        <w:tabs>
          <w:tab w:val="left" w:pos="880"/>
        </w:tabs>
        <w:kinsoku w:val="0"/>
        <w:overflowPunct w:val="0"/>
        <w:spacing w:before="1"/>
        <w:ind w:right="1058"/>
        <w:jc w:val="both"/>
      </w:pPr>
      <w:r w:rsidRPr="00C3365C">
        <w:t xml:space="preserve">Means that policymakers will err on the side of safety in the face of numerous uncertainties about exposures, dose/response curves, etc. that are involved in </w:t>
      </w:r>
      <w:r w:rsidRPr="00C3365C">
        <w:rPr>
          <w:spacing w:val="-3"/>
        </w:rPr>
        <w:lastRenderedPageBreak/>
        <w:t xml:space="preserve">estimating </w:t>
      </w:r>
      <w:r w:rsidRPr="00C3365C">
        <w:t>cancer risks</w:t>
      </w:r>
    </w:p>
    <w:p w14:paraId="767E83CB" w14:textId="77777777" w:rsidR="0070589C" w:rsidRPr="00C3365C" w:rsidRDefault="0070589C" w:rsidP="0070589C">
      <w:pPr>
        <w:pStyle w:val="BodyText"/>
        <w:kinsoku w:val="0"/>
        <w:overflowPunct w:val="0"/>
        <w:spacing w:before="11"/>
        <w:jc w:val="both"/>
      </w:pPr>
    </w:p>
    <w:p w14:paraId="6E930B0A" w14:textId="77777777" w:rsidR="0070589C" w:rsidRPr="00C3365C" w:rsidRDefault="0070589C" w:rsidP="0070589C">
      <w:pPr>
        <w:pStyle w:val="ListParagraph"/>
        <w:numPr>
          <w:ilvl w:val="0"/>
          <w:numId w:val="11"/>
        </w:numPr>
        <w:tabs>
          <w:tab w:val="left" w:pos="880"/>
        </w:tabs>
        <w:kinsoku w:val="0"/>
        <w:overflowPunct w:val="0"/>
        <w:ind w:right="1465"/>
        <w:jc w:val="both"/>
      </w:pPr>
      <w:r w:rsidRPr="00C3365C">
        <w:t>Can take into account some of the synergistic or cumulative risks that are</w:t>
      </w:r>
      <w:r w:rsidRPr="00C3365C">
        <w:rPr>
          <w:spacing w:val="-37"/>
        </w:rPr>
        <w:t xml:space="preserve"> </w:t>
      </w:r>
      <w:r w:rsidRPr="00C3365C">
        <w:t>otherwise unaddressed by the risk assessment</w:t>
      </w:r>
      <w:r w:rsidRPr="00C3365C">
        <w:rPr>
          <w:spacing w:val="-11"/>
        </w:rPr>
        <w:t xml:space="preserve"> </w:t>
      </w:r>
      <w:r w:rsidRPr="00C3365C">
        <w:t>process</w:t>
      </w:r>
    </w:p>
    <w:p w14:paraId="1A1B680F" w14:textId="77777777" w:rsidR="0070589C" w:rsidRPr="00C3365C" w:rsidRDefault="0070589C" w:rsidP="0070589C">
      <w:pPr>
        <w:pStyle w:val="BodyText"/>
        <w:kinsoku w:val="0"/>
        <w:overflowPunct w:val="0"/>
        <w:spacing w:before="1"/>
        <w:jc w:val="both"/>
      </w:pPr>
    </w:p>
    <w:p w14:paraId="2873D0CE" w14:textId="77777777" w:rsidR="0070589C" w:rsidRPr="00C3365C" w:rsidRDefault="0070589C" w:rsidP="0070589C">
      <w:pPr>
        <w:pStyle w:val="ListParagraph"/>
        <w:numPr>
          <w:ilvl w:val="0"/>
          <w:numId w:val="11"/>
        </w:numPr>
        <w:tabs>
          <w:tab w:val="left" w:pos="880"/>
        </w:tabs>
        <w:kinsoku w:val="0"/>
        <w:overflowPunct w:val="0"/>
        <w:spacing w:before="1"/>
        <w:ind w:right="900"/>
        <w:jc w:val="both"/>
      </w:pPr>
      <w:bookmarkStart w:id="14" w:name="Page_55"/>
      <w:bookmarkEnd w:id="14"/>
      <w:r w:rsidRPr="00C3365C">
        <w:t>Can take into account populations that are unusually sensitive to toxic</w:t>
      </w:r>
      <w:r w:rsidRPr="00C3365C">
        <w:rPr>
          <w:spacing w:val="-10"/>
        </w:rPr>
        <w:t xml:space="preserve"> </w:t>
      </w:r>
      <w:r w:rsidRPr="00C3365C">
        <w:t>exposures</w:t>
      </w:r>
    </w:p>
    <w:p w14:paraId="7E1E4201" w14:textId="77777777" w:rsidR="0070589C" w:rsidRPr="00C3365C" w:rsidRDefault="0070589C" w:rsidP="0070589C">
      <w:pPr>
        <w:pStyle w:val="BodyText"/>
        <w:kinsoku w:val="0"/>
        <w:overflowPunct w:val="0"/>
        <w:jc w:val="both"/>
      </w:pPr>
    </w:p>
    <w:p w14:paraId="69D71207" w14:textId="77777777" w:rsidR="0070589C" w:rsidRPr="00C3365C" w:rsidRDefault="0070589C" w:rsidP="0070589C">
      <w:pPr>
        <w:pStyle w:val="ListParagraph"/>
        <w:numPr>
          <w:ilvl w:val="0"/>
          <w:numId w:val="11"/>
        </w:numPr>
        <w:tabs>
          <w:tab w:val="left" w:pos="880"/>
        </w:tabs>
        <w:kinsoku w:val="0"/>
        <w:overflowPunct w:val="0"/>
        <w:ind w:right="893"/>
        <w:jc w:val="both"/>
      </w:pPr>
      <w:r w:rsidRPr="00C3365C">
        <w:t xml:space="preserve">Can take into account populations that experience unusually high levels of exposures </w:t>
      </w:r>
      <w:r>
        <w:rPr>
          <w:spacing w:val="-3"/>
        </w:rPr>
        <w:t>(e.g.,</w:t>
      </w:r>
      <w:r w:rsidRPr="00C3365C">
        <w:rPr>
          <w:spacing w:val="-3"/>
        </w:rPr>
        <w:t xml:space="preserve"> </w:t>
      </w:r>
      <w:r w:rsidRPr="00C3365C">
        <w:t>Native Americans who consume fish at far greater levels than the average</w:t>
      </w:r>
      <w:r w:rsidRPr="00C3365C">
        <w:rPr>
          <w:spacing w:val="-17"/>
        </w:rPr>
        <w:t xml:space="preserve"> </w:t>
      </w:r>
      <w:r w:rsidRPr="00C3365C">
        <w:t>person)</w:t>
      </w:r>
    </w:p>
    <w:p w14:paraId="7ADB8582" w14:textId="77777777" w:rsidR="0070589C" w:rsidRPr="00C3365C" w:rsidRDefault="0070589C" w:rsidP="0070589C">
      <w:pPr>
        <w:pStyle w:val="BodyText"/>
        <w:kinsoku w:val="0"/>
        <w:overflowPunct w:val="0"/>
        <w:jc w:val="both"/>
      </w:pPr>
    </w:p>
    <w:p w14:paraId="529DCCCD" w14:textId="77777777" w:rsidR="0070589C" w:rsidRPr="00C3365C" w:rsidRDefault="0070589C" w:rsidP="0070589C">
      <w:pPr>
        <w:pStyle w:val="ListParagraph"/>
        <w:numPr>
          <w:ilvl w:val="0"/>
          <w:numId w:val="11"/>
        </w:numPr>
        <w:tabs>
          <w:tab w:val="left" w:pos="880"/>
        </w:tabs>
        <w:kinsoku w:val="0"/>
        <w:overflowPunct w:val="0"/>
        <w:jc w:val="both"/>
      </w:pPr>
      <w:r w:rsidRPr="00C3365C">
        <w:t>Can better protect against all hazard</w:t>
      </w:r>
      <w:r w:rsidRPr="00C3365C">
        <w:rPr>
          <w:spacing w:val="4"/>
        </w:rPr>
        <w:t xml:space="preserve"> </w:t>
      </w:r>
      <w:r w:rsidRPr="00C3365C">
        <w:t>endpoints</w:t>
      </w:r>
    </w:p>
    <w:p w14:paraId="0AC6C8FD" w14:textId="77777777" w:rsidR="0070589C" w:rsidRPr="00C3365C" w:rsidRDefault="0070589C" w:rsidP="0070589C">
      <w:pPr>
        <w:pStyle w:val="BodyText"/>
        <w:kinsoku w:val="0"/>
        <w:overflowPunct w:val="0"/>
        <w:jc w:val="both"/>
      </w:pPr>
    </w:p>
    <w:p w14:paraId="071956B3" w14:textId="77777777" w:rsidR="0070589C" w:rsidRPr="00C3365C" w:rsidRDefault="0070589C" w:rsidP="0070589C">
      <w:pPr>
        <w:pStyle w:val="Heading1"/>
        <w:kinsoku w:val="0"/>
        <w:overflowPunct w:val="0"/>
        <w:ind w:left="880"/>
        <w:jc w:val="both"/>
      </w:pPr>
      <w:r w:rsidRPr="00C3365C">
        <w:t>Cons</w:t>
      </w:r>
    </w:p>
    <w:p w14:paraId="721FBAC2" w14:textId="77777777" w:rsidR="0070589C" w:rsidRPr="00C3365C" w:rsidRDefault="0070589C" w:rsidP="0070589C">
      <w:pPr>
        <w:pStyle w:val="BodyText"/>
        <w:kinsoku w:val="0"/>
        <w:overflowPunct w:val="0"/>
        <w:jc w:val="both"/>
        <w:rPr>
          <w:b/>
          <w:bCs/>
        </w:rPr>
      </w:pPr>
    </w:p>
    <w:p w14:paraId="464CAB59" w14:textId="77777777" w:rsidR="0070589C" w:rsidRPr="00C3365C" w:rsidRDefault="0070589C" w:rsidP="0070589C">
      <w:pPr>
        <w:pStyle w:val="ListParagraph"/>
        <w:numPr>
          <w:ilvl w:val="0"/>
          <w:numId w:val="11"/>
        </w:numPr>
        <w:tabs>
          <w:tab w:val="left" w:pos="880"/>
        </w:tabs>
        <w:kinsoku w:val="0"/>
        <w:overflowPunct w:val="0"/>
        <w:ind w:right="900"/>
        <w:jc w:val="both"/>
      </w:pPr>
      <w:r w:rsidRPr="00C3365C">
        <w:t xml:space="preserve">May mean that the risk numbers calculated are not for “average” consumers, or </w:t>
      </w:r>
      <w:r w:rsidRPr="00C3365C">
        <w:rPr>
          <w:spacing w:val="-3"/>
        </w:rPr>
        <w:t xml:space="preserve">protecting </w:t>
      </w:r>
      <w:r w:rsidRPr="00C3365C">
        <w:t>against most plausible exposure</w:t>
      </w:r>
      <w:r w:rsidRPr="00C3365C">
        <w:rPr>
          <w:spacing w:val="-1"/>
        </w:rPr>
        <w:t xml:space="preserve"> </w:t>
      </w:r>
      <w:r w:rsidRPr="00C3365C">
        <w:t>scenarios</w:t>
      </w:r>
    </w:p>
    <w:p w14:paraId="06564D60" w14:textId="77777777" w:rsidR="0070589C" w:rsidRPr="00C3365C" w:rsidRDefault="0070589C" w:rsidP="0070589C">
      <w:pPr>
        <w:pStyle w:val="BodyText"/>
        <w:kinsoku w:val="0"/>
        <w:overflowPunct w:val="0"/>
        <w:jc w:val="both"/>
      </w:pPr>
    </w:p>
    <w:p w14:paraId="37E31FC3" w14:textId="77777777" w:rsidR="0070589C" w:rsidRPr="00C3365C" w:rsidRDefault="0070589C" w:rsidP="0070589C">
      <w:pPr>
        <w:pStyle w:val="ListParagraph"/>
        <w:numPr>
          <w:ilvl w:val="0"/>
          <w:numId w:val="11"/>
        </w:numPr>
        <w:tabs>
          <w:tab w:val="left" w:pos="880"/>
        </w:tabs>
        <w:kinsoku w:val="0"/>
        <w:overflowPunct w:val="0"/>
        <w:ind w:right="1073"/>
        <w:jc w:val="both"/>
      </w:pPr>
      <w:r w:rsidRPr="00C3365C">
        <w:t>May</w:t>
      </w:r>
      <w:r w:rsidRPr="00C3365C">
        <w:rPr>
          <w:spacing w:val="-10"/>
        </w:rPr>
        <w:t xml:space="preserve"> </w:t>
      </w:r>
      <w:r w:rsidRPr="00C3365C">
        <w:t>result in</w:t>
      </w:r>
      <w:r w:rsidRPr="00C3365C">
        <w:rPr>
          <w:spacing w:val="-1"/>
        </w:rPr>
        <w:t xml:space="preserve"> </w:t>
      </w:r>
      <w:r w:rsidRPr="00C3365C">
        <w:t>highly</w:t>
      </w:r>
      <w:r w:rsidRPr="00C3365C">
        <w:rPr>
          <w:spacing w:val="-11"/>
        </w:rPr>
        <w:t xml:space="preserve"> </w:t>
      </w:r>
      <w:r w:rsidRPr="00C3365C">
        <w:t>overprotective</w:t>
      </w:r>
      <w:r w:rsidRPr="00C3365C">
        <w:rPr>
          <w:spacing w:val="-3"/>
        </w:rPr>
        <w:t xml:space="preserve"> </w:t>
      </w:r>
      <w:r w:rsidRPr="00C3365C">
        <w:t>standard</w:t>
      </w:r>
      <w:r>
        <w:t>s</w:t>
      </w:r>
      <w:r w:rsidRPr="00C3365C">
        <w:rPr>
          <w:spacing w:val="-3"/>
        </w:rPr>
        <w:t xml:space="preserve"> </w:t>
      </w:r>
      <w:r w:rsidRPr="00C3365C">
        <w:t>if</w:t>
      </w:r>
      <w:r w:rsidRPr="00C3365C">
        <w:rPr>
          <w:spacing w:val="-4"/>
        </w:rPr>
        <w:t xml:space="preserve"> </w:t>
      </w:r>
      <w:r w:rsidRPr="00C3365C">
        <w:t>other safety</w:t>
      </w:r>
      <w:r w:rsidRPr="00C3365C">
        <w:rPr>
          <w:spacing w:val="-9"/>
        </w:rPr>
        <w:t xml:space="preserve"> </w:t>
      </w:r>
      <w:r w:rsidRPr="00C3365C">
        <w:t>factors</w:t>
      </w:r>
      <w:r w:rsidRPr="00C3365C">
        <w:rPr>
          <w:spacing w:val="-1"/>
        </w:rPr>
        <w:t xml:space="preserve"> </w:t>
      </w:r>
      <w:r w:rsidRPr="00C3365C">
        <w:t>are</w:t>
      </w:r>
      <w:r w:rsidRPr="00C3365C">
        <w:rPr>
          <w:spacing w:val="-4"/>
        </w:rPr>
        <w:t xml:space="preserve"> </w:t>
      </w:r>
      <w:r w:rsidRPr="00C3365C">
        <w:t>built</w:t>
      </w:r>
      <w:r w:rsidRPr="00C3365C">
        <w:rPr>
          <w:spacing w:val="-3"/>
        </w:rPr>
        <w:t xml:space="preserve"> </w:t>
      </w:r>
      <w:r w:rsidRPr="00C3365C">
        <w:t>into the</w:t>
      </w:r>
      <w:r w:rsidRPr="00C3365C">
        <w:rPr>
          <w:spacing w:val="-3"/>
        </w:rPr>
        <w:t xml:space="preserve"> </w:t>
      </w:r>
      <w:r w:rsidRPr="00C3365C">
        <w:t>risk assessment process</w:t>
      </w:r>
    </w:p>
    <w:p w14:paraId="1F46450C" w14:textId="77777777" w:rsidR="0070589C" w:rsidRPr="00C3365C" w:rsidRDefault="0070589C" w:rsidP="0070589C">
      <w:pPr>
        <w:pStyle w:val="BodyText"/>
        <w:kinsoku w:val="0"/>
        <w:overflowPunct w:val="0"/>
        <w:jc w:val="both"/>
      </w:pPr>
    </w:p>
    <w:p w14:paraId="65D3A297" w14:textId="77777777" w:rsidR="0070589C" w:rsidRDefault="0070589C" w:rsidP="0070589C">
      <w:pPr>
        <w:pStyle w:val="ListParagraph"/>
        <w:numPr>
          <w:ilvl w:val="0"/>
          <w:numId w:val="11"/>
        </w:numPr>
        <w:tabs>
          <w:tab w:val="left" w:pos="880"/>
        </w:tabs>
        <w:kinsoku w:val="0"/>
        <w:overflowPunct w:val="0"/>
        <w:ind w:right="1296"/>
        <w:jc w:val="both"/>
      </w:pPr>
      <w:r w:rsidRPr="00C3365C">
        <w:t>Can</w:t>
      </w:r>
      <w:r w:rsidRPr="00C3365C">
        <w:rPr>
          <w:spacing w:val="-2"/>
        </w:rPr>
        <w:t xml:space="preserve"> </w:t>
      </w:r>
      <w:r w:rsidRPr="00C3365C">
        <w:t>increase</w:t>
      </w:r>
      <w:r w:rsidRPr="00C3365C">
        <w:rPr>
          <w:spacing w:val="-1"/>
        </w:rPr>
        <w:t xml:space="preserve"> </w:t>
      </w:r>
      <w:r w:rsidRPr="00C3365C">
        <w:t>stringency</w:t>
      </w:r>
      <w:r w:rsidRPr="00C3365C">
        <w:rPr>
          <w:spacing w:val="-12"/>
        </w:rPr>
        <w:t xml:space="preserve"> </w:t>
      </w:r>
      <w:r w:rsidRPr="00C3365C">
        <w:t>of</w:t>
      </w:r>
      <w:r w:rsidRPr="00C3365C">
        <w:rPr>
          <w:spacing w:val="-1"/>
        </w:rPr>
        <w:t xml:space="preserve"> </w:t>
      </w:r>
      <w:r w:rsidRPr="00C3365C">
        <w:t>standards</w:t>
      </w:r>
      <w:r w:rsidRPr="00C3365C">
        <w:rPr>
          <w:spacing w:val="-1"/>
        </w:rPr>
        <w:t xml:space="preserve"> </w:t>
      </w:r>
      <w:r w:rsidRPr="00C3365C">
        <w:t>being</w:t>
      </w:r>
      <w:r w:rsidRPr="00C3365C">
        <w:rPr>
          <w:spacing w:val="-5"/>
        </w:rPr>
        <w:t xml:space="preserve"> </w:t>
      </w:r>
      <w:r w:rsidRPr="00C3365C">
        <w:t>set</w:t>
      </w:r>
      <w:r w:rsidRPr="00C3365C">
        <w:rPr>
          <w:spacing w:val="-1"/>
        </w:rPr>
        <w:t xml:space="preserve"> </w:t>
      </w:r>
      <w:r w:rsidRPr="00C3365C">
        <w:t>and</w:t>
      </w:r>
      <w:r w:rsidRPr="00C3365C">
        <w:rPr>
          <w:spacing w:val="-2"/>
        </w:rPr>
        <w:t xml:space="preserve"> </w:t>
      </w:r>
      <w:r w:rsidRPr="00C3365C">
        <w:t>may</w:t>
      </w:r>
      <w:r w:rsidRPr="00C3365C">
        <w:rPr>
          <w:spacing w:val="-10"/>
        </w:rPr>
        <w:t xml:space="preserve"> </w:t>
      </w:r>
      <w:r w:rsidRPr="00C3365C">
        <w:t>significantly</w:t>
      </w:r>
      <w:r w:rsidRPr="00C3365C">
        <w:rPr>
          <w:spacing w:val="-9"/>
        </w:rPr>
        <w:t xml:space="preserve"> </w:t>
      </w:r>
      <w:r w:rsidRPr="00C3365C">
        <w:t>increase</w:t>
      </w:r>
      <w:r w:rsidRPr="00C3365C">
        <w:rPr>
          <w:spacing w:val="-2"/>
        </w:rPr>
        <w:t xml:space="preserve"> </w:t>
      </w:r>
      <w:r w:rsidRPr="00C3365C">
        <w:t>costs</w:t>
      </w:r>
      <w:r w:rsidRPr="00C3365C">
        <w:rPr>
          <w:spacing w:val="-1"/>
        </w:rPr>
        <w:t xml:space="preserve"> </w:t>
      </w:r>
      <w:r w:rsidRPr="00C3365C">
        <w:rPr>
          <w:spacing w:val="-6"/>
        </w:rPr>
        <w:t xml:space="preserve">of </w:t>
      </w:r>
      <w:r w:rsidRPr="00C3365C">
        <w:t>environmental</w:t>
      </w:r>
      <w:r w:rsidRPr="00C3365C">
        <w:rPr>
          <w:spacing w:val="-1"/>
        </w:rPr>
        <w:t xml:space="preserve"> </w:t>
      </w:r>
      <w:r w:rsidRPr="00C3365C">
        <w:t>regulation</w:t>
      </w:r>
    </w:p>
    <w:p w14:paraId="031174C5" w14:textId="77777777" w:rsidR="0070589C" w:rsidRPr="00C3365C" w:rsidRDefault="0070589C" w:rsidP="0070589C">
      <w:pPr>
        <w:tabs>
          <w:tab w:val="left" w:pos="880"/>
        </w:tabs>
        <w:kinsoku w:val="0"/>
        <w:overflowPunct w:val="0"/>
        <w:ind w:right="1296"/>
        <w:jc w:val="both"/>
      </w:pPr>
    </w:p>
    <w:p w14:paraId="4FB94AFC" w14:textId="77777777" w:rsidR="0070589C" w:rsidRPr="00C3365C" w:rsidRDefault="0070589C" w:rsidP="0070589C">
      <w:pPr>
        <w:pStyle w:val="BodyText"/>
        <w:kinsoku w:val="0"/>
        <w:overflowPunct w:val="0"/>
        <w:spacing w:before="59"/>
        <w:ind w:left="160"/>
        <w:jc w:val="both"/>
      </w:pPr>
      <w:r w:rsidRPr="00C3365C">
        <w:t>Other related points:</w:t>
      </w:r>
    </w:p>
    <w:p w14:paraId="127E7FD7" w14:textId="77777777" w:rsidR="0070589C" w:rsidRPr="00C3365C" w:rsidRDefault="0070589C" w:rsidP="0070589C">
      <w:pPr>
        <w:pStyle w:val="BodyText"/>
        <w:kinsoku w:val="0"/>
        <w:overflowPunct w:val="0"/>
        <w:spacing w:before="10"/>
        <w:jc w:val="both"/>
      </w:pPr>
    </w:p>
    <w:p w14:paraId="19FB20DE" w14:textId="77777777" w:rsidR="0070589C" w:rsidRPr="00C3365C" w:rsidRDefault="0070589C" w:rsidP="0070589C">
      <w:pPr>
        <w:pStyle w:val="ListParagraph"/>
        <w:numPr>
          <w:ilvl w:val="0"/>
          <w:numId w:val="12"/>
        </w:numPr>
        <w:tabs>
          <w:tab w:val="left" w:pos="880"/>
        </w:tabs>
        <w:kinsoku w:val="0"/>
        <w:overflowPunct w:val="0"/>
        <w:ind w:right="895"/>
        <w:jc w:val="both"/>
        <w:rPr>
          <w:spacing w:val="-4"/>
        </w:rPr>
      </w:pPr>
      <w:r w:rsidRPr="00C3365C">
        <w:t xml:space="preserve">Section 5 of President Clinton’s Executive Order 13045 provides that for major regulations, agencies must submit to the Office of Management and Budget an </w:t>
      </w:r>
      <w:r w:rsidRPr="00C3365C">
        <w:rPr>
          <w:spacing w:val="-3"/>
        </w:rPr>
        <w:t xml:space="preserve">evaluation </w:t>
      </w:r>
      <w:r w:rsidRPr="00C3365C">
        <w:t>of the environmental health or safety effects of the planned regulation on children, and</w:t>
      </w:r>
      <w:r w:rsidRPr="00C3365C">
        <w:rPr>
          <w:spacing w:val="-32"/>
        </w:rPr>
        <w:t xml:space="preserve"> </w:t>
      </w:r>
      <w:r w:rsidRPr="00C3365C">
        <w:t>an explanation of why the planned regulation is preferable to other potentially effective and reasonably feasible alternatives considered by the</w:t>
      </w:r>
      <w:r w:rsidRPr="00C3365C">
        <w:rPr>
          <w:spacing w:val="-19"/>
        </w:rPr>
        <w:t xml:space="preserve"> </w:t>
      </w:r>
      <w:r w:rsidRPr="00C3365C">
        <w:rPr>
          <w:spacing w:val="-4"/>
        </w:rPr>
        <w:t>agency.</w:t>
      </w:r>
    </w:p>
    <w:p w14:paraId="52289C3F" w14:textId="77777777" w:rsidR="0070589C" w:rsidRPr="00C3365C" w:rsidRDefault="0070589C" w:rsidP="0070589C">
      <w:pPr>
        <w:pStyle w:val="BodyText"/>
        <w:kinsoku w:val="0"/>
        <w:overflowPunct w:val="0"/>
        <w:jc w:val="both"/>
      </w:pPr>
    </w:p>
    <w:p w14:paraId="7AFEEE2E" w14:textId="77777777" w:rsidR="0070589C" w:rsidRPr="00C3365C" w:rsidRDefault="0070589C" w:rsidP="0070589C">
      <w:pPr>
        <w:pStyle w:val="ListParagraph"/>
        <w:numPr>
          <w:ilvl w:val="0"/>
          <w:numId w:val="13"/>
        </w:numPr>
        <w:tabs>
          <w:tab w:val="left" w:pos="880"/>
        </w:tabs>
        <w:kinsoku w:val="0"/>
        <w:overflowPunct w:val="0"/>
        <w:spacing w:before="1"/>
        <w:ind w:right="900"/>
        <w:jc w:val="both"/>
      </w:pPr>
      <w:r w:rsidRPr="00C3365C">
        <w:t>The Safe Drinking Water Act Amendments of 1996 also require EPA to identify subpopulations (e.g., infants, children, pregnant women) at greater risk than the</w:t>
      </w:r>
      <w:r w:rsidRPr="00C3365C">
        <w:rPr>
          <w:spacing w:val="-19"/>
        </w:rPr>
        <w:t xml:space="preserve"> </w:t>
      </w:r>
      <w:r w:rsidRPr="00C3365C">
        <w:rPr>
          <w:spacing w:val="-3"/>
        </w:rPr>
        <w:t xml:space="preserve">general </w:t>
      </w:r>
      <w:r w:rsidRPr="00C3365C">
        <w:t>public to adverse health effects from exposure to contaminants in drinking water.</w:t>
      </w:r>
      <w:r w:rsidRPr="00C3365C">
        <w:rPr>
          <w:spacing w:val="47"/>
        </w:rPr>
        <w:t xml:space="preserve"> </w:t>
      </w:r>
      <w:r w:rsidRPr="00C3365C">
        <w:t>42</w:t>
      </w:r>
      <w:r>
        <w:t xml:space="preserve"> </w:t>
      </w:r>
      <w:r w:rsidRPr="00C3365C">
        <w:t>U.S.C. 300j-18(a).</w:t>
      </w:r>
    </w:p>
    <w:p w14:paraId="21045DFD" w14:textId="77777777" w:rsidR="0070589C" w:rsidRPr="00C3365C" w:rsidRDefault="0070589C" w:rsidP="0070589C">
      <w:pPr>
        <w:pStyle w:val="BodyText"/>
        <w:kinsoku w:val="0"/>
        <w:overflowPunct w:val="0"/>
        <w:jc w:val="both"/>
      </w:pPr>
    </w:p>
    <w:p w14:paraId="3F966F61" w14:textId="77777777" w:rsidR="0070589C" w:rsidRPr="00C3365C" w:rsidRDefault="0070589C" w:rsidP="0070589C">
      <w:pPr>
        <w:pStyle w:val="ListParagraph"/>
        <w:numPr>
          <w:ilvl w:val="0"/>
          <w:numId w:val="13"/>
        </w:numPr>
        <w:tabs>
          <w:tab w:val="left" w:pos="880"/>
        </w:tabs>
        <w:kinsoku w:val="0"/>
        <w:overflowPunct w:val="0"/>
        <w:ind w:right="900"/>
        <w:jc w:val="both"/>
      </w:pPr>
      <w:r w:rsidRPr="00C3365C">
        <w:t xml:space="preserve">A 1993 National Academy of Sciences report, Pesticides in the Diets of Infants and Children, concluded that then-current scientific and regulatory approaches did not adequately protect infants and children from pesticide residues in food, and called for EPA to take into account children's unique dietary patterns when setting pesticide standards and registrations. EPA </w:t>
      </w:r>
      <w:r w:rsidRPr="00C3365C">
        <w:rPr>
          <w:spacing w:val="-3"/>
        </w:rPr>
        <w:t xml:space="preserve">says </w:t>
      </w:r>
      <w:r w:rsidRPr="00C3365C">
        <w:t>that it now routinely considers dietary risk to</w:t>
      </w:r>
      <w:r w:rsidRPr="00C3365C">
        <w:rPr>
          <w:spacing w:val="-34"/>
        </w:rPr>
        <w:t xml:space="preserve"> </w:t>
      </w:r>
      <w:r w:rsidRPr="00C3365C">
        <w:t>infants and children in registering and re-registering</w:t>
      </w:r>
      <w:r w:rsidRPr="00C3365C">
        <w:rPr>
          <w:spacing w:val="-16"/>
        </w:rPr>
        <w:t xml:space="preserve"> </w:t>
      </w:r>
      <w:r w:rsidRPr="00C3365C">
        <w:t>pesticides.</w:t>
      </w:r>
    </w:p>
    <w:p w14:paraId="093BA61F" w14:textId="77777777" w:rsidR="0070589C" w:rsidRPr="00C3365C" w:rsidRDefault="0070589C" w:rsidP="0070589C">
      <w:pPr>
        <w:pStyle w:val="BodyText"/>
        <w:kinsoku w:val="0"/>
        <w:overflowPunct w:val="0"/>
        <w:jc w:val="both"/>
      </w:pPr>
    </w:p>
    <w:p w14:paraId="5060AA7C" w14:textId="77777777" w:rsidR="0070589C" w:rsidRPr="00C3365C" w:rsidRDefault="0070589C" w:rsidP="0070589C">
      <w:pPr>
        <w:pStyle w:val="ListParagraph"/>
        <w:numPr>
          <w:ilvl w:val="0"/>
          <w:numId w:val="13"/>
        </w:numPr>
        <w:tabs>
          <w:tab w:val="left" w:pos="880"/>
        </w:tabs>
        <w:kinsoku w:val="0"/>
        <w:overflowPunct w:val="0"/>
        <w:ind w:right="900"/>
        <w:jc w:val="both"/>
      </w:pPr>
      <w:r w:rsidRPr="00C3365C">
        <w:lastRenderedPageBreak/>
        <w:t>A</w:t>
      </w:r>
      <w:r>
        <w:t>n</w:t>
      </w:r>
      <w:r w:rsidRPr="00C3365C">
        <w:t xml:space="preserve"> EPA report conclu</w:t>
      </w:r>
      <w:r>
        <w:t>ded that children younger than two</w:t>
      </w:r>
      <w:r w:rsidRPr="00C3365C">
        <w:t xml:space="preserve"> face a tenfold risk of developing cancer when exposed to certain toxic substances (mutagens, which</w:t>
      </w:r>
      <w:r w:rsidRPr="00C3365C">
        <w:rPr>
          <w:spacing w:val="-35"/>
        </w:rPr>
        <w:t xml:space="preserve"> </w:t>
      </w:r>
      <w:r w:rsidRPr="00C3365C">
        <w:t>cause</w:t>
      </w:r>
      <w:bookmarkStart w:id="15" w:name="Page_56"/>
      <w:bookmarkEnd w:id="15"/>
      <w:r w:rsidRPr="00C3365C">
        <w:t xml:space="preserve"> cancer by dama</w:t>
      </w:r>
      <w:r>
        <w:t>ging DNA), while children ages two</w:t>
      </w:r>
      <w:r w:rsidRPr="00C3365C">
        <w:t xml:space="preserve"> to 15 have a risk three times that of adults from exposure to these substances. Jennifer Lee, </w:t>
      </w:r>
      <w:r w:rsidRPr="00A62E30">
        <w:rPr>
          <w:i/>
          <w:iCs/>
        </w:rPr>
        <w:t>Agency Says Children’s Risk is Higher for Some Cancers</w:t>
      </w:r>
      <w:r w:rsidRPr="00C3365C">
        <w:t xml:space="preserve">, NY </w:t>
      </w:r>
      <w:r w:rsidRPr="008D5028">
        <w:rPr>
          <w:smallCaps/>
        </w:rPr>
        <w:t>T</w:t>
      </w:r>
      <w:r>
        <w:rPr>
          <w:smallCaps/>
        </w:rPr>
        <w:t>imes</w:t>
      </w:r>
      <w:r w:rsidRPr="00C3365C">
        <w:t>, March 4, 2003, at A19.</w:t>
      </w:r>
    </w:p>
    <w:p w14:paraId="27792BDE" w14:textId="77777777" w:rsidR="0070589C" w:rsidRPr="00C3365C" w:rsidRDefault="0070589C" w:rsidP="0070589C">
      <w:pPr>
        <w:pStyle w:val="BodyText"/>
        <w:kinsoku w:val="0"/>
        <w:overflowPunct w:val="0"/>
        <w:jc w:val="both"/>
      </w:pPr>
    </w:p>
    <w:p w14:paraId="6E94AECD" w14:textId="77777777" w:rsidR="0070589C" w:rsidRPr="00C3365C" w:rsidRDefault="0070589C" w:rsidP="0070589C">
      <w:pPr>
        <w:pStyle w:val="Heading1"/>
        <w:numPr>
          <w:ilvl w:val="0"/>
          <w:numId w:val="10"/>
        </w:numPr>
        <w:tabs>
          <w:tab w:val="left" w:pos="514"/>
        </w:tabs>
        <w:kinsoku w:val="0"/>
        <w:overflowPunct w:val="0"/>
        <w:ind w:left="513" w:hanging="353"/>
        <w:jc w:val="both"/>
      </w:pPr>
      <w:r w:rsidRPr="00C3365C">
        <w:t>C</w:t>
      </w:r>
      <w:r>
        <w:t>omparative</w:t>
      </w:r>
      <w:r w:rsidRPr="00C3365C">
        <w:t xml:space="preserve"> </w:t>
      </w:r>
      <w:r>
        <w:t>Risk</w:t>
      </w:r>
      <w:r w:rsidRPr="00C3365C">
        <w:rPr>
          <w:spacing w:val="-1"/>
        </w:rPr>
        <w:t xml:space="preserve"> </w:t>
      </w:r>
      <w:r w:rsidRPr="00C3365C">
        <w:t>A</w:t>
      </w:r>
      <w:r>
        <w:t xml:space="preserve">ssessment </w:t>
      </w:r>
    </w:p>
    <w:p w14:paraId="5902CF6E" w14:textId="77777777" w:rsidR="0070589C" w:rsidRDefault="0070589C" w:rsidP="0070589C">
      <w:pPr>
        <w:tabs>
          <w:tab w:val="left" w:pos="880"/>
        </w:tabs>
        <w:kinsoku w:val="0"/>
        <w:overflowPunct w:val="0"/>
        <w:spacing w:before="59"/>
        <w:ind w:right="540"/>
        <w:jc w:val="both"/>
      </w:pPr>
      <w:r w:rsidRPr="00C3365C">
        <w:tab/>
        <w:t>Some examples of how qualitative factors inform the public’s evaluation of risk</w:t>
      </w:r>
      <w:r w:rsidRPr="00C3365C">
        <w:rPr>
          <w:spacing w:val="-4"/>
        </w:rPr>
        <w:t xml:space="preserve"> </w:t>
      </w:r>
      <w:r w:rsidRPr="00C3365C">
        <w:t>include</w:t>
      </w:r>
      <w:bookmarkStart w:id="16" w:name="Page_58"/>
      <w:bookmarkEnd w:id="16"/>
      <w:r w:rsidRPr="00C3365C">
        <w:t xml:space="preserve"> the following [the first risk in the pairings is perceived as less serious than the second]:</w:t>
      </w:r>
    </w:p>
    <w:p w14:paraId="5BDC8A99" w14:textId="77777777" w:rsidR="0070589C" w:rsidRDefault="0070589C" w:rsidP="0070589C">
      <w:pPr>
        <w:tabs>
          <w:tab w:val="left" w:pos="880"/>
        </w:tabs>
        <w:kinsoku w:val="0"/>
        <w:overflowPunct w:val="0"/>
        <w:ind w:right="900"/>
        <w:jc w:val="both"/>
      </w:pPr>
    </w:p>
    <w:p w14:paraId="36BDEF0B" w14:textId="77777777" w:rsidR="0070589C" w:rsidRDefault="0070589C" w:rsidP="0070589C">
      <w:pPr>
        <w:pStyle w:val="ListParagraph"/>
        <w:numPr>
          <w:ilvl w:val="0"/>
          <w:numId w:val="13"/>
        </w:numPr>
        <w:tabs>
          <w:tab w:val="left" w:pos="880"/>
        </w:tabs>
        <w:kinsoku w:val="0"/>
        <w:overflowPunct w:val="0"/>
        <w:ind w:right="900"/>
        <w:jc w:val="both"/>
      </w:pPr>
      <w:r w:rsidRPr="00C3365C">
        <w:t xml:space="preserve">Familiar risks (household accidents) are perceived as less risky than </w:t>
      </w:r>
      <w:r w:rsidRPr="00606778">
        <w:rPr>
          <w:spacing w:val="-3"/>
        </w:rPr>
        <w:t xml:space="preserve">unfamiliar </w:t>
      </w:r>
      <w:r w:rsidRPr="00C3365C">
        <w:t>(ozone depletion)</w:t>
      </w:r>
    </w:p>
    <w:p w14:paraId="2F883C35" w14:textId="77777777" w:rsidR="0070589C" w:rsidRDefault="0070589C" w:rsidP="0070589C">
      <w:pPr>
        <w:tabs>
          <w:tab w:val="left" w:pos="880"/>
        </w:tabs>
        <w:kinsoku w:val="0"/>
        <w:overflowPunct w:val="0"/>
        <w:ind w:left="160" w:right="900"/>
        <w:jc w:val="both"/>
      </w:pPr>
    </w:p>
    <w:p w14:paraId="187A9479" w14:textId="77777777" w:rsidR="0070589C" w:rsidRDefault="0070589C" w:rsidP="0070589C">
      <w:pPr>
        <w:pStyle w:val="ListParagraph"/>
        <w:numPr>
          <w:ilvl w:val="0"/>
          <w:numId w:val="13"/>
        </w:numPr>
        <w:tabs>
          <w:tab w:val="left" w:pos="880"/>
        </w:tabs>
        <w:kinsoku w:val="0"/>
        <w:overflowPunct w:val="0"/>
        <w:ind w:right="900"/>
        <w:jc w:val="both"/>
      </w:pPr>
      <w:r w:rsidRPr="00C3365C">
        <w:t>Voluntary risks (skiing, canoeing) vs. involuntary (air</w:t>
      </w:r>
      <w:r w:rsidRPr="00606778">
        <w:rPr>
          <w:spacing w:val="-18"/>
        </w:rPr>
        <w:t xml:space="preserve"> </w:t>
      </w:r>
      <w:r w:rsidRPr="00C3365C">
        <w:t>pollution)</w:t>
      </w:r>
    </w:p>
    <w:p w14:paraId="319EA9EB" w14:textId="77777777" w:rsidR="0070589C" w:rsidRDefault="0070589C" w:rsidP="0070589C">
      <w:pPr>
        <w:pStyle w:val="ListParagraph"/>
      </w:pPr>
    </w:p>
    <w:p w14:paraId="2EE96C8C" w14:textId="77777777" w:rsidR="0070589C" w:rsidRDefault="0070589C" w:rsidP="0070589C">
      <w:pPr>
        <w:pStyle w:val="ListParagraph"/>
        <w:numPr>
          <w:ilvl w:val="0"/>
          <w:numId w:val="13"/>
        </w:numPr>
        <w:tabs>
          <w:tab w:val="left" w:pos="880"/>
        </w:tabs>
        <w:kinsoku w:val="0"/>
        <w:overflowPunct w:val="0"/>
        <w:ind w:right="900"/>
        <w:jc w:val="both"/>
      </w:pPr>
      <w:r w:rsidRPr="00C3365C">
        <w:t>Risks not dreaded (food poisoning) vs. dreaded risks that evoke fear (toxic</w:t>
      </w:r>
      <w:r w:rsidRPr="00606778">
        <w:rPr>
          <w:spacing w:val="-15"/>
        </w:rPr>
        <w:t xml:space="preserve"> </w:t>
      </w:r>
      <w:r w:rsidRPr="00C3365C">
        <w:t>wastes)</w:t>
      </w:r>
    </w:p>
    <w:p w14:paraId="4BF5F7F9" w14:textId="77777777" w:rsidR="0070589C" w:rsidRDefault="0070589C" w:rsidP="0070589C">
      <w:pPr>
        <w:pStyle w:val="ListParagraph"/>
      </w:pPr>
    </w:p>
    <w:p w14:paraId="3636DF61" w14:textId="77777777" w:rsidR="0070589C" w:rsidRDefault="0070589C" w:rsidP="0070589C">
      <w:pPr>
        <w:pStyle w:val="ListParagraph"/>
        <w:numPr>
          <w:ilvl w:val="0"/>
          <w:numId w:val="13"/>
        </w:numPr>
        <w:tabs>
          <w:tab w:val="left" w:pos="880"/>
        </w:tabs>
        <w:kinsoku w:val="0"/>
        <w:overflowPunct w:val="0"/>
        <w:ind w:right="900"/>
        <w:jc w:val="both"/>
      </w:pPr>
      <w:r w:rsidRPr="00C3365C">
        <w:t xml:space="preserve">Risks over which individuals can exercise control (driving) vs. those over </w:t>
      </w:r>
      <w:r w:rsidRPr="00606778">
        <w:rPr>
          <w:spacing w:val="-4"/>
        </w:rPr>
        <w:t xml:space="preserve">which </w:t>
      </w:r>
      <w:r w:rsidRPr="00C3365C">
        <w:t>they lack control (nuclear</w:t>
      </w:r>
      <w:r w:rsidRPr="00606778">
        <w:rPr>
          <w:spacing w:val="-7"/>
        </w:rPr>
        <w:t xml:space="preserve"> </w:t>
      </w:r>
      <w:r w:rsidRPr="00C3365C">
        <w:t>accidents)</w:t>
      </w:r>
    </w:p>
    <w:p w14:paraId="7224507F" w14:textId="77777777" w:rsidR="0070589C" w:rsidRDefault="0070589C" w:rsidP="0070589C">
      <w:pPr>
        <w:pStyle w:val="ListParagraph"/>
      </w:pPr>
    </w:p>
    <w:p w14:paraId="7631042E" w14:textId="77777777" w:rsidR="0070589C" w:rsidRDefault="0070589C" w:rsidP="0070589C">
      <w:pPr>
        <w:pStyle w:val="ListParagraph"/>
        <w:numPr>
          <w:ilvl w:val="0"/>
          <w:numId w:val="13"/>
        </w:numPr>
        <w:tabs>
          <w:tab w:val="left" w:pos="880"/>
        </w:tabs>
        <w:kinsoku w:val="0"/>
        <w:overflowPunct w:val="0"/>
        <w:ind w:right="900"/>
        <w:jc w:val="both"/>
      </w:pPr>
      <w:r w:rsidRPr="00C3365C">
        <w:t>Risks affecting adults (workplace accidents) vs. those affecting children</w:t>
      </w:r>
      <w:r w:rsidRPr="00606778">
        <w:rPr>
          <w:spacing w:val="-32"/>
        </w:rPr>
        <w:t xml:space="preserve"> </w:t>
      </w:r>
      <w:r w:rsidRPr="00C3365C">
        <w:t>(birth defects)</w:t>
      </w:r>
    </w:p>
    <w:p w14:paraId="517A5637" w14:textId="77777777" w:rsidR="0070589C" w:rsidRPr="00C3365C" w:rsidRDefault="0070589C" w:rsidP="0070589C">
      <w:pPr>
        <w:tabs>
          <w:tab w:val="left" w:pos="880"/>
        </w:tabs>
        <w:kinsoku w:val="0"/>
        <w:overflowPunct w:val="0"/>
        <w:ind w:right="900"/>
        <w:jc w:val="both"/>
      </w:pPr>
    </w:p>
    <w:p w14:paraId="5D4A5F69" w14:textId="77777777" w:rsidR="0070589C" w:rsidRPr="00C3365C" w:rsidRDefault="0070589C" w:rsidP="0070589C">
      <w:pPr>
        <w:pStyle w:val="Heading1"/>
        <w:kinsoku w:val="0"/>
        <w:overflowPunct w:val="0"/>
        <w:spacing w:before="58"/>
        <w:jc w:val="both"/>
      </w:pPr>
      <w:r w:rsidRPr="00C3365C">
        <w:t>Some pros &amp; cons of ranking risk hazards:</w:t>
      </w:r>
    </w:p>
    <w:p w14:paraId="093B1A69" w14:textId="77777777" w:rsidR="0070589C" w:rsidRPr="00C3365C" w:rsidRDefault="0070589C" w:rsidP="0070589C">
      <w:pPr>
        <w:pStyle w:val="BodyText"/>
        <w:kinsoku w:val="0"/>
        <w:overflowPunct w:val="0"/>
        <w:jc w:val="both"/>
        <w:rPr>
          <w:b/>
          <w:bCs/>
        </w:rPr>
      </w:pPr>
    </w:p>
    <w:p w14:paraId="3B70EAC3" w14:textId="77777777" w:rsidR="0070589C" w:rsidRPr="00C3365C" w:rsidRDefault="0070589C" w:rsidP="0070589C">
      <w:pPr>
        <w:pStyle w:val="BodyText"/>
        <w:kinsoku w:val="0"/>
        <w:overflowPunct w:val="0"/>
        <w:spacing w:before="1"/>
        <w:ind w:left="879"/>
        <w:jc w:val="both"/>
        <w:rPr>
          <w:b/>
          <w:bCs/>
        </w:rPr>
      </w:pPr>
      <w:r w:rsidRPr="00C3365C">
        <w:rPr>
          <w:b/>
          <w:bCs/>
        </w:rPr>
        <w:t>Pros:</w:t>
      </w:r>
    </w:p>
    <w:p w14:paraId="75EB12A7" w14:textId="77777777" w:rsidR="0070589C" w:rsidRPr="00C3365C" w:rsidRDefault="0070589C" w:rsidP="0070589C">
      <w:pPr>
        <w:pStyle w:val="BodyText"/>
        <w:kinsoku w:val="0"/>
        <w:overflowPunct w:val="0"/>
        <w:spacing w:before="11"/>
        <w:jc w:val="both"/>
        <w:rPr>
          <w:b/>
          <w:bCs/>
        </w:rPr>
      </w:pPr>
    </w:p>
    <w:p w14:paraId="56378C60" w14:textId="77777777" w:rsidR="0070589C" w:rsidRPr="00C3365C" w:rsidRDefault="0070589C" w:rsidP="0070589C">
      <w:pPr>
        <w:pStyle w:val="ListParagraph"/>
        <w:numPr>
          <w:ilvl w:val="0"/>
          <w:numId w:val="14"/>
        </w:numPr>
        <w:tabs>
          <w:tab w:val="left" w:pos="880"/>
        </w:tabs>
        <w:kinsoku w:val="0"/>
        <w:overflowPunct w:val="0"/>
        <w:ind w:right="900"/>
        <w:jc w:val="both"/>
      </w:pPr>
      <w:r w:rsidRPr="00C3365C">
        <w:t>Allows for more “rational” setting of priorities, based on expert assessments of</w:t>
      </w:r>
      <w:r w:rsidRPr="00C3365C">
        <w:rPr>
          <w:spacing w:val="-27"/>
        </w:rPr>
        <w:t xml:space="preserve"> </w:t>
      </w:r>
      <w:r w:rsidRPr="00C3365C">
        <w:t>most serious risks.</w:t>
      </w:r>
    </w:p>
    <w:p w14:paraId="2C111485" w14:textId="77777777" w:rsidR="0070589C" w:rsidRPr="00C3365C" w:rsidRDefault="0070589C" w:rsidP="0070589C">
      <w:pPr>
        <w:pStyle w:val="BodyText"/>
        <w:kinsoku w:val="0"/>
        <w:overflowPunct w:val="0"/>
        <w:jc w:val="both"/>
      </w:pPr>
    </w:p>
    <w:p w14:paraId="264CFD65" w14:textId="77777777" w:rsidR="0070589C" w:rsidRPr="00C3365C" w:rsidRDefault="0070589C" w:rsidP="0070589C">
      <w:pPr>
        <w:pStyle w:val="ListParagraph"/>
        <w:numPr>
          <w:ilvl w:val="0"/>
          <w:numId w:val="14"/>
        </w:numPr>
        <w:tabs>
          <w:tab w:val="left" w:pos="880"/>
        </w:tabs>
        <w:kinsoku w:val="0"/>
        <w:overflowPunct w:val="0"/>
        <w:ind w:right="900"/>
        <w:jc w:val="both"/>
      </w:pPr>
      <w:r w:rsidRPr="00C3365C">
        <w:rPr>
          <w:spacing w:val="-3"/>
        </w:rPr>
        <w:t xml:space="preserve">If </w:t>
      </w:r>
      <w:r w:rsidRPr="00C3365C">
        <w:t xml:space="preserve">resources are reallocated to most cost-effective uses, could save lives or money (Graham estimates that reallocation in this way could save 60,000 lives per </w:t>
      </w:r>
      <w:r w:rsidRPr="00C3365C">
        <w:rPr>
          <w:spacing w:val="-3"/>
        </w:rPr>
        <w:t xml:space="preserve">year </w:t>
      </w:r>
      <w:r w:rsidRPr="00C3365C">
        <w:t xml:space="preserve">at </w:t>
      </w:r>
      <w:r w:rsidRPr="00C3365C">
        <w:rPr>
          <w:spacing w:val="-3"/>
        </w:rPr>
        <w:t xml:space="preserve">current </w:t>
      </w:r>
      <w:r w:rsidRPr="00C3365C">
        <w:t>cost, or save same number of lives at savings of $31</w:t>
      </w:r>
      <w:r w:rsidRPr="00C3365C">
        <w:rPr>
          <w:spacing w:val="-7"/>
        </w:rPr>
        <w:t xml:space="preserve"> </w:t>
      </w:r>
      <w:r w:rsidRPr="00C3365C">
        <w:t>billion).</w:t>
      </w:r>
    </w:p>
    <w:p w14:paraId="72A1E5AD" w14:textId="77777777" w:rsidR="0070589C" w:rsidRPr="00C3365C" w:rsidRDefault="0070589C" w:rsidP="0070589C">
      <w:pPr>
        <w:pStyle w:val="BodyText"/>
        <w:kinsoku w:val="0"/>
        <w:overflowPunct w:val="0"/>
        <w:spacing w:before="1"/>
        <w:jc w:val="both"/>
      </w:pPr>
    </w:p>
    <w:p w14:paraId="47F523D2" w14:textId="77777777" w:rsidR="0070589C" w:rsidRPr="00C3365C" w:rsidRDefault="0070589C" w:rsidP="0070589C">
      <w:pPr>
        <w:pStyle w:val="Heading1"/>
        <w:kinsoku w:val="0"/>
        <w:overflowPunct w:val="0"/>
        <w:spacing w:before="1"/>
        <w:ind w:left="880"/>
        <w:jc w:val="both"/>
      </w:pPr>
      <w:bookmarkStart w:id="17" w:name="Page_59"/>
      <w:bookmarkEnd w:id="17"/>
      <w:r w:rsidRPr="00C3365C">
        <w:t>Cons</w:t>
      </w:r>
    </w:p>
    <w:p w14:paraId="226C0070" w14:textId="77777777" w:rsidR="0070589C" w:rsidRPr="00C3365C" w:rsidRDefault="0070589C" w:rsidP="0070589C">
      <w:pPr>
        <w:pStyle w:val="BodyText"/>
        <w:kinsoku w:val="0"/>
        <w:overflowPunct w:val="0"/>
        <w:jc w:val="both"/>
        <w:rPr>
          <w:b/>
          <w:bCs/>
        </w:rPr>
      </w:pPr>
    </w:p>
    <w:p w14:paraId="245997AA" w14:textId="77777777" w:rsidR="0070589C" w:rsidRPr="00C3365C" w:rsidRDefault="0070589C" w:rsidP="0070589C">
      <w:pPr>
        <w:pStyle w:val="ListParagraph"/>
        <w:numPr>
          <w:ilvl w:val="0"/>
          <w:numId w:val="14"/>
        </w:numPr>
        <w:tabs>
          <w:tab w:val="left" w:pos="880"/>
        </w:tabs>
        <w:kinsoku w:val="0"/>
        <w:overflowPunct w:val="0"/>
        <w:ind w:right="900"/>
        <w:jc w:val="both"/>
      </w:pPr>
      <w:r w:rsidRPr="00C3365C">
        <w:t xml:space="preserve">Assumes public desire to reduce risks can be measured by willingness to </w:t>
      </w:r>
      <w:r w:rsidRPr="00C3365C">
        <w:rPr>
          <w:spacing w:val="-3"/>
        </w:rPr>
        <w:t xml:space="preserve">pay, </w:t>
      </w:r>
      <w:r w:rsidRPr="00C3365C">
        <w:t>but this is</w:t>
      </w:r>
      <w:r w:rsidRPr="00C3365C">
        <w:rPr>
          <w:spacing w:val="-29"/>
        </w:rPr>
        <w:t xml:space="preserve"> </w:t>
      </w:r>
      <w:r w:rsidRPr="00C3365C">
        <w:t>a flawed measure because for many</w:t>
      </w:r>
      <w:r>
        <w:t>,</w:t>
      </w:r>
      <w:r w:rsidRPr="00C3365C">
        <w:t xml:space="preserve"> willingness to pay is function of ability to</w:t>
      </w:r>
      <w:r w:rsidRPr="00C3365C">
        <w:rPr>
          <w:spacing w:val="-32"/>
        </w:rPr>
        <w:t xml:space="preserve"> </w:t>
      </w:r>
      <w:r w:rsidRPr="00C3365C">
        <w:t>pay.</w:t>
      </w:r>
    </w:p>
    <w:p w14:paraId="1C1C1978" w14:textId="77777777" w:rsidR="0070589C" w:rsidRPr="00C3365C" w:rsidRDefault="0070589C" w:rsidP="0070589C">
      <w:pPr>
        <w:pStyle w:val="BodyText"/>
        <w:kinsoku w:val="0"/>
        <w:overflowPunct w:val="0"/>
        <w:jc w:val="both"/>
      </w:pPr>
    </w:p>
    <w:p w14:paraId="7D09D9B8" w14:textId="77777777" w:rsidR="0070589C" w:rsidRPr="00C3365C" w:rsidRDefault="0070589C" w:rsidP="0070589C">
      <w:pPr>
        <w:pStyle w:val="ListParagraph"/>
        <w:numPr>
          <w:ilvl w:val="0"/>
          <w:numId w:val="14"/>
        </w:numPr>
        <w:tabs>
          <w:tab w:val="left" w:pos="880"/>
        </w:tabs>
        <w:kinsoku w:val="0"/>
        <w:overflowPunct w:val="0"/>
        <w:ind w:right="900"/>
        <w:jc w:val="both"/>
      </w:pPr>
      <w:r w:rsidRPr="00C3365C">
        <w:t>Benefits from regulation may be nonquantifiable – loss of autonomy, loss of</w:t>
      </w:r>
      <w:r w:rsidRPr="00C3365C">
        <w:rPr>
          <w:spacing w:val="-40"/>
        </w:rPr>
        <w:t xml:space="preserve"> </w:t>
      </w:r>
      <w:r w:rsidRPr="00C3365C">
        <w:t>livelihood, ability to breath clean air, damage to</w:t>
      </w:r>
      <w:r w:rsidRPr="00C3365C">
        <w:rPr>
          <w:spacing w:val="-8"/>
        </w:rPr>
        <w:t xml:space="preserve"> </w:t>
      </w:r>
      <w:r w:rsidRPr="00C3365C">
        <w:t>ecosystem.</w:t>
      </w:r>
    </w:p>
    <w:p w14:paraId="7DF272D5" w14:textId="77777777" w:rsidR="0070589C" w:rsidRPr="00C3365C" w:rsidRDefault="0070589C" w:rsidP="0070589C">
      <w:pPr>
        <w:pStyle w:val="BodyText"/>
        <w:kinsoku w:val="0"/>
        <w:overflowPunct w:val="0"/>
        <w:jc w:val="both"/>
      </w:pPr>
    </w:p>
    <w:p w14:paraId="592C537B" w14:textId="77777777" w:rsidR="0070589C" w:rsidRPr="00C3365C" w:rsidRDefault="0070589C" w:rsidP="0070589C">
      <w:pPr>
        <w:pStyle w:val="ListParagraph"/>
        <w:numPr>
          <w:ilvl w:val="0"/>
          <w:numId w:val="14"/>
        </w:numPr>
        <w:tabs>
          <w:tab w:val="left" w:pos="880"/>
        </w:tabs>
        <w:kinsoku w:val="0"/>
        <w:overflowPunct w:val="0"/>
        <w:jc w:val="both"/>
      </w:pPr>
      <w:r w:rsidRPr="00C3365C">
        <w:t>Does not take into account synergistic or cumulative</w:t>
      </w:r>
      <w:r w:rsidRPr="00C3365C">
        <w:rPr>
          <w:spacing w:val="-7"/>
        </w:rPr>
        <w:t xml:space="preserve"> </w:t>
      </w:r>
      <w:r w:rsidRPr="00C3365C">
        <w:t>risks.</w:t>
      </w:r>
    </w:p>
    <w:p w14:paraId="148B8A80" w14:textId="77777777" w:rsidR="0070589C" w:rsidRPr="00C3365C" w:rsidRDefault="0070589C" w:rsidP="0070589C">
      <w:pPr>
        <w:pStyle w:val="BodyText"/>
        <w:kinsoku w:val="0"/>
        <w:overflowPunct w:val="0"/>
        <w:jc w:val="both"/>
      </w:pPr>
    </w:p>
    <w:p w14:paraId="484D0ACB" w14:textId="77777777" w:rsidR="0070589C" w:rsidRPr="00C3365C" w:rsidRDefault="0070589C" w:rsidP="0070589C">
      <w:pPr>
        <w:pStyle w:val="ListParagraph"/>
        <w:numPr>
          <w:ilvl w:val="0"/>
          <w:numId w:val="14"/>
        </w:numPr>
        <w:tabs>
          <w:tab w:val="left" w:pos="880"/>
        </w:tabs>
        <w:kinsoku w:val="0"/>
        <w:overflowPunct w:val="0"/>
        <w:ind w:right="900"/>
        <w:jc w:val="both"/>
      </w:pPr>
      <w:r w:rsidRPr="00C3365C">
        <w:t xml:space="preserve">Cost benefit analysis generally does not consider distributional consequences: “Since a cost-benefit analysis of a toxic pollution problem typically does not support protecting all persons (because the marginal costs will be too high), cost-benefit analysis is incompatible with the goals of environmental justice.” Carl Cranor, Risk Assessment, Susceptible Subpopulations, and Environmental Justice in </w:t>
      </w:r>
      <w:r w:rsidRPr="008D5028">
        <w:rPr>
          <w:smallCaps/>
        </w:rPr>
        <w:t>The Law of Environmental Justice</w:t>
      </w:r>
      <w:r>
        <w:t xml:space="preserve"> </w:t>
      </w:r>
      <w:r w:rsidRPr="00C3365C">
        <w:t>328 (Michael Gerrard ed.</w:t>
      </w:r>
      <w:r w:rsidRPr="00C3365C">
        <w:rPr>
          <w:spacing w:val="-16"/>
        </w:rPr>
        <w:t xml:space="preserve"> </w:t>
      </w:r>
      <w:r w:rsidRPr="00C3365C">
        <w:t>1999).</w:t>
      </w:r>
    </w:p>
    <w:p w14:paraId="4EA3F3B9" w14:textId="77777777" w:rsidR="0070589C" w:rsidRPr="00C3365C" w:rsidRDefault="0070589C" w:rsidP="0070589C">
      <w:pPr>
        <w:pStyle w:val="ListParagraph"/>
        <w:jc w:val="both"/>
      </w:pPr>
    </w:p>
    <w:p w14:paraId="02C9E238" w14:textId="77777777" w:rsidR="0070589C" w:rsidRPr="00C13864" w:rsidRDefault="0070589C" w:rsidP="0070589C">
      <w:pPr>
        <w:tabs>
          <w:tab w:val="left" w:pos="880"/>
        </w:tabs>
        <w:kinsoku w:val="0"/>
        <w:overflowPunct w:val="0"/>
        <w:ind w:right="540"/>
        <w:jc w:val="both"/>
        <w:rPr>
          <w:sz w:val="24"/>
          <w:szCs w:val="24"/>
        </w:rPr>
      </w:pPr>
      <w:r>
        <w:tab/>
      </w:r>
      <w:r w:rsidRPr="00C13864">
        <w:rPr>
          <w:sz w:val="24"/>
          <w:szCs w:val="24"/>
        </w:rPr>
        <w:t xml:space="preserve">Justice Stephen </w:t>
      </w:r>
      <w:r w:rsidRPr="00C13864">
        <w:rPr>
          <w:spacing w:val="-3"/>
          <w:sz w:val="24"/>
          <w:szCs w:val="24"/>
        </w:rPr>
        <w:t xml:space="preserve">Breyer </w:t>
      </w:r>
      <w:r w:rsidRPr="00C13864">
        <w:rPr>
          <w:sz w:val="24"/>
          <w:szCs w:val="24"/>
        </w:rPr>
        <w:t xml:space="preserve">has been highly critical of our current system of risk regulation, arguing that federal agencies do not rationally prioritize their regulatory agendas. He attributes this in considerable part to differences between how the public, as opposed to scientific experts, perceives risk (he argues that agency priorities more closely reflect public perceptions than agency perceptions). He also maintains that the numerous uncertainties in the risk assessment process can lead to random regulatory decisions. His proposed solution is to create a small, centralized politically insulated, “blue ribbon” committee of health and environmental experts (a sort of super civil service), charged with developing coherent risk priorities for various federal agencies that regulate risk, including EPA. The committee would have authority to reallocate resources among agencies (e.g., shifting money from cleaning up toxic waste sites to vaccination or prenatal care), decide on uniform assumptions to employ in </w:t>
      </w:r>
      <w:r w:rsidRPr="00C13864">
        <w:rPr>
          <w:spacing w:val="-6"/>
          <w:sz w:val="24"/>
          <w:szCs w:val="24"/>
        </w:rPr>
        <w:t xml:space="preserve">the </w:t>
      </w:r>
      <w:r w:rsidRPr="00C13864">
        <w:rPr>
          <w:sz w:val="24"/>
          <w:szCs w:val="24"/>
        </w:rPr>
        <w:t>risk assessment process, and so forth.  See Breyer, supra, at 55-81.  Underlying Breyer’s proposal is the belief that insulating risk decisions from the current political and regulatory processes will produce superior results. Ask the students if the agree with this analysis.</w:t>
      </w:r>
    </w:p>
    <w:p w14:paraId="15F821F0" w14:textId="77777777" w:rsidR="0070589C" w:rsidRPr="00C13864" w:rsidRDefault="0070589C" w:rsidP="0070589C">
      <w:pPr>
        <w:pStyle w:val="BodyText"/>
        <w:kinsoku w:val="0"/>
        <w:overflowPunct w:val="0"/>
        <w:spacing w:before="11"/>
        <w:jc w:val="both"/>
        <w:rPr>
          <w:sz w:val="28"/>
          <w:szCs w:val="28"/>
        </w:rPr>
      </w:pPr>
    </w:p>
    <w:p w14:paraId="6B3AB261" w14:textId="77777777" w:rsidR="0070589C" w:rsidRPr="00C13864" w:rsidRDefault="0070589C" w:rsidP="0070589C">
      <w:pPr>
        <w:tabs>
          <w:tab w:val="left" w:pos="880"/>
          <w:tab w:val="left" w:leader="dot" w:pos="6516"/>
        </w:tabs>
        <w:kinsoku w:val="0"/>
        <w:overflowPunct w:val="0"/>
        <w:spacing w:before="59"/>
        <w:ind w:right="540"/>
        <w:jc w:val="both"/>
        <w:rPr>
          <w:sz w:val="24"/>
          <w:szCs w:val="24"/>
        </w:rPr>
      </w:pPr>
      <w:r>
        <w:tab/>
      </w:r>
      <w:r w:rsidRPr="00C13864">
        <w:rPr>
          <w:sz w:val="24"/>
          <w:szCs w:val="24"/>
        </w:rPr>
        <w:t>Justice Breyer’s proposal usually stimulates a lively discussion. The undemocratic features of his proposed super civil service have been heavily criticized. Adam Finkel argues that such a super civil service would shift power to experts “at a time when the public wants greater inclusion in policymaking,” that it would increase public distrust</w:t>
      </w:r>
      <w:r w:rsidRPr="00C13864">
        <w:rPr>
          <w:spacing w:val="-19"/>
          <w:sz w:val="24"/>
          <w:szCs w:val="24"/>
        </w:rPr>
        <w:t xml:space="preserve"> </w:t>
      </w:r>
      <w:r w:rsidRPr="00C13864">
        <w:rPr>
          <w:spacing w:val="-7"/>
          <w:sz w:val="24"/>
          <w:szCs w:val="24"/>
        </w:rPr>
        <w:t xml:space="preserve">of </w:t>
      </w:r>
      <w:r w:rsidRPr="00C13864">
        <w:rPr>
          <w:sz w:val="24"/>
          <w:szCs w:val="24"/>
        </w:rPr>
        <w:t>government, that it would be vulnerable to special interest capture, that it would still be subject to bureaucratic mistakes, and that members of the civil service would still be subject to the “so-called irrationalities of</w:t>
      </w:r>
      <w:r w:rsidRPr="00C13864">
        <w:rPr>
          <w:spacing w:val="-8"/>
          <w:sz w:val="24"/>
          <w:szCs w:val="24"/>
        </w:rPr>
        <w:t xml:space="preserve"> </w:t>
      </w:r>
      <w:r w:rsidRPr="00C13864">
        <w:rPr>
          <w:sz w:val="24"/>
          <w:szCs w:val="24"/>
        </w:rPr>
        <w:t>risk</w:t>
      </w:r>
      <w:r w:rsidRPr="00C13864">
        <w:rPr>
          <w:spacing w:val="-1"/>
          <w:sz w:val="24"/>
          <w:szCs w:val="24"/>
        </w:rPr>
        <w:t xml:space="preserve"> </w:t>
      </w:r>
      <w:r w:rsidRPr="00C13864">
        <w:rPr>
          <w:sz w:val="24"/>
          <w:szCs w:val="24"/>
        </w:rPr>
        <w:t>perception….[T]here is no reason why</w:t>
      </w:r>
      <w:r w:rsidRPr="00C13864">
        <w:rPr>
          <w:spacing w:val="-10"/>
          <w:sz w:val="24"/>
          <w:szCs w:val="24"/>
        </w:rPr>
        <w:t xml:space="preserve"> </w:t>
      </w:r>
      <w:r w:rsidRPr="00C13864">
        <w:rPr>
          <w:sz w:val="24"/>
          <w:szCs w:val="24"/>
        </w:rPr>
        <w:t xml:space="preserve">one should not expect experts, like laypersons, to make decisions hamstrung by their own rules of thumb....” Adam Finkel, </w:t>
      </w:r>
      <w:r w:rsidRPr="00C13864">
        <w:rPr>
          <w:i/>
          <w:iCs/>
          <w:sz w:val="24"/>
          <w:szCs w:val="24"/>
        </w:rPr>
        <w:t>A Second Opinion on an Environmental Misdiagnosis: The Risky Perceptions of Breaking the Vicious Circle</w:t>
      </w:r>
      <w:r w:rsidRPr="00C13864">
        <w:rPr>
          <w:sz w:val="24"/>
          <w:szCs w:val="24"/>
        </w:rPr>
        <w:t xml:space="preserve">, 3 N.Y.U. </w:t>
      </w:r>
      <w:r w:rsidRPr="00C13864">
        <w:rPr>
          <w:smallCaps/>
          <w:sz w:val="24"/>
          <w:szCs w:val="24"/>
        </w:rPr>
        <w:t>Envtl</w:t>
      </w:r>
      <w:r w:rsidRPr="00C13864">
        <w:rPr>
          <w:spacing w:val="5"/>
          <w:sz w:val="24"/>
          <w:szCs w:val="24"/>
        </w:rPr>
        <w:t xml:space="preserve">. </w:t>
      </w:r>
      <w:r w:rsidRPr="00C13864">
        <w:rPr>
          <w:spacing w:val="-3"/>
          <w:sz w:val="24"/>
          <w:szCs w:val="24"/>
        </w:rPr>
        <w:t xml:space="preserve">L. </w:t>
      </w:r>
      <w:r w:rsidRPr="00C13864">
        <w:rPr>
          <w:sz w:val="24"/>
          <w:szCs w:val="24"/>
        </w:rPr>
        <w:t>J. 295, 355-358 (1995). Others have raised questions about who would select the experts on this</w:t>
      </w:r>
      <w:r w:rsidRPr="00C13864">
        <w:rPr>
          <w:spacing w:val="-8"/>
          <w:sz w:val="24"/>
          <w:szCs w:val="24"/>
        </w:rPr>
        <w:t xml:space="preserve"> </w:t>
      </w:r>
      <w:r w:rsidRPr="00C13864">
        <w:rPr>
          <w:sz w:val="24"/>
          <w:szCs w:val="24"/>
        </w:rPr>
        <w:t xml:space="preserve">“blue </w:t>
      </w:r>
      <w:bookmarkStart w:id="18" w:name="Page_60"/>
      <w:bookmarkEnd w:id="18"/>
      <w:r w:rsidRPr="00C13864">
        <w:rPr>
          <w:sz w:val="24"/>
          <w:szCs w:val="24"/>
        </w:rPr>
        <w:t xml:space="preserve">ribbon” committee, and how? </w:t>
      </w:r>
    </w:p>
    <w:p w14:paraId="45DA1AF0" w14:textId="77777777" w:rsidR="0070589C" w:rsidRPr="00C13864" w:rsidRDefault="0070589C" w:rsidP="0070589C">
      <w:pPr>
        <w:tabs>
          <w:tab w:val="left" w:pos="880"/>
          <w:tab w:val="left" w:leader="dot" w:pos="6516"/>
        </w:tabs>
        <w:kinsoku w:val="0"/>
        <w:overflowPunct w:val="0"/>
        <w:spacing w:before="59"/>
        <w:jc w:val="both"/>
        <w:rPr>
          <w:sz w:val="24"/>
          <w:szCs w:val="24"/>
        </w:rPr>
      </w:pPr>
    </w:p>
    <w:p w14:paraId="5B485203" w14:textId="5270AE64" w:rsidR="0070589C" w:rsidRPr="00C3365C" w:rsidRDefault="359C5DC0" w:rsidP="0070589C">
      <w:pPr>
        <w:tabs>
          <w:tab w:val="left" w:pos="880"/>
          <w:tab w:val="left" w:leader="dot" w:pos="6516"/>
        </w:tabs>
        <w:kinsoku w:val="0"/>
        <w:overflowPunct w:val="0"/>
        <w:spacing w:before="59"/>
        <w:ind w:right="540"/>
        <w:jc w:val="both"/>
      </w:pPr>
      <w:r w:rsidRPr="359C5DC0">
        <w:rPr>
          <w:sz w:val="24"/>
          <w:szCs w:val="24"/>
        </w:rPr>
        <w:t>An interesting group exercise would be to have students locate social media posts about risk and health concerns relating to environmental justice topics.</w:t>
      </w:r>
    </w:p>
    <w:p w14:paraId="7A6A511F" w14:textId="77777777" w:rsidR="0070589C" w:rsidRPr="00C3365C" w:rsidRDefault="0070589C" w:rsidP="0070589C">
      <w:pPr>
        <w:tabs>
          <w:tab w:val="left" w:pos="880"/>
          <w:tab w:val="left" w:leader="dot" w:pos="6516"/>
        </w:tabs>
        <w:kinsoku w:val="0"/>
        <w:overflowPunct w:val="0"/>
        <w:spacing w:before="59"/>
        <w:ind w:right="540"/>
        <w:jc w:val="both"/>
      </w:pPr>
    </w:p>
    <w:p w14:paraId="5BB6FA69" w14:textId="77777777" w:rsidR="0070589C" w:rsidRPr="00C3365C" w:rsidRDefault="0070589C" w:rsidP="0070589C">
      <w:pPr>
        <w:pStyle w:val="BodyText"/>
        <w:kinsoku w:val="0"/>
        <w:overflowPunct w:val="0"/>
        <w:spacing w:before="59"/>
        <w:ind w:right="540" w:firstLine="720"/>
        <w:jc w:val="both"/>
        <w:sectPr w:rsidR="0070589C" w:rsidRPr="00C3365C" w:rsidSect="00B35D9A">
          <w:headerReference w:type="default" r:id="rId16"/>
          <w:footerReference w:type="even" r:id="rId17"/>
          <w:footerReference w:type="default" r:id="rId18"/>
          <w:pgSz w:w="12240" w:h="15840"/>
          <w:pgMar w:top="1440" w:right="1440" w:bottom="1440" w:left="1440" w:header="218" w:footer="1353" w:gutter="0"/>
          <w:cols w:space="720"/>
        </w:sectPr>
      </w:pPr>
      <w:r>
        <w:t>Thus far, r</w:t>
      </w:r>
      <w:r w:rsidRPr="00C3365C">
        <w:t xml:space="preserve">esults have </w:t>
      </w:r>
      <w:r>
        <w:t xml:space="preserve">only </w:t>
      </w:r>
      <w:r w:rsidRPr="00C3365C">
        <w:t>been published for the air toxics component of the Cumulative Exposure Project. That portion estimated 1990 outdoor concentrations of air toxics, based on a national modeling study of the average 1990 concentrations of 148 HAPs in each census tract in the continental United States. There were 13 air toxics with modeled concentrations that exceeded benchmark concentrations for more than half of the country</w:t>
      </w:r>
      <w:r>
        <w:t>.</w:t>
      </w:r>
      <w:r w:rsidRPr="00C3365C">
        <w:t xml:space="preserve"> </w:t>
      </w:r>
      <w:r>
        <w:lastRenderedPageBreak/>
        <w:t>F</w:t>
      </w:r>
      <w:r w:rsidRPr="00C3365C">
        <w:t>or 8 of these air toxics, this result was attributable to the impact of 1990 man-made emissions, while for the other 5 air toxics, this result was attributable to background concentrations. Of the 77 air toxics for which the authors were able to identify cancer</w:t>
      </w:r>
      <w:bookmarkStart w:id="19" w:name="Page_63"/>
      <w:bookmarkEnd w:id="19"/>
      <w:r w:rsidRPr="00C3365C">
        <w:t xml:space="preserve"> benchmarks, 55 were estimated to have ambient concentrations greater than the 1 in a million cancer risk in at least one census tract based on the modeled 1990 data. Thirteen air toxics had estimated concentrations greater than a 1 in 10,000 cancer risk in at least one census tract. Overall, ten percent of census tracts across the United States, covering about 20 million people, had at least one toxic air pollutant with an estimated concentration greater than a 1 in 10,000 cancer risk level. </w:t>
      </w:r>
      <w:r w:rsidRPr="003D462B">
        <w:t xml:space="preserve">See AS </w:t>
      </w:r>
      <w:r w:rsidRPr="003D462B">
        <w:rPr>
          <w:color w:val="212121"/>
          <w:shd w:val="clear" w:color="auto" w:fill="FFFFFF"/>
        </w:rPr>
        <w:t>Rosenbaum et al., National estimates of outdoor air toxics concentrations, 10 J. Air Waste Manag. Assoc. 1138 (1999).</w:t>
      </w:r>
    </w:p>
    <w:p w14:paraId="15B17A92" w14:textId="77777777" w:rsidR="0070589C" w:rsidRPr="00C3365C" w:rsidRDefault="0070589C" w:rsidP="0070589C">
      <w:pPr>
        <w:pStyle w:val="BodyText"/>
        <w:kinsoku w:val="0"/>
        <w:overflowPunct w:val="0"/>
        <w:spacing w:before="59"/>
        <w:jc w:val="both"/>
      </w:pPr>
      <w:bookmarkStart w:id="20" w:name="Page_64"/>
      <w:bookmarkEnd w:id="20"/>
      <w:r w:rsidRPr="00C3365C">
        <w:lastRenderedPageBreak/>
        <w:t xml:space="preserve">   RISK RANKING - ENVIRONMENTAL CONCERNS</w:t>
      </w:r>
    </w:p>
    <w:tbl>
      <w:tblPr>
        <w:tblW w:w="0" w:type="auto"/>
        <w:tblInd w:w="180" w:type="dxa"/>
        <w:tblLayout w:type="fixed"/>
        <w:tblCellMar>
          <w:left w:w="0" w:type="dxa"/>
          <w:right w:w="0" w:type="dxa"/>
        </w:tblCellMar>
        <w:tblLook w:val="04A0" w:firstRow="1" w:lastRow="0" w:firstColumn="1" w:lastColumn="0" w:noHBand="0" w:noVBand="1"/>
      </w:tblPr>
      <w:tblGrid>
        <w:gridCol w:w="7178"/>
        <w:gridCol w:w="1180"/>
        <w:gridCol w:w="1070"/>
      </w:tblGrid>
      <w:tr w:rsidR="0070589C" w:rsidRPr="00C3365C" w14:paraId="40513AF2"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54B7E025" w14:textId="77777777" w:rsidR="0070589C" w:rsidRPr="00C3365C" w:rsidRDefault="0070589C" w:rsidP="00B35D9A">
            <w:pPr>
              <w:pStyle w:val="TableParagraph"/>
              <w:kinsoku w:val="0"/>
              <w:overflowPunct w:val="0"/>
              <w:spacing w:before="100" w:line="256" w:lineRule="auto"/>
              <w:ind w:left="110"/>
              <w:jc w:val="both"/>
            </w:pPr>
            <w:r w:rsidRPr="00C3365C">
              <w:t>active hazardous waste sites</w:t>
            </w:r>
          </w:p>
        </w:tc>
        <w:tc>
          <w:tcPr>
            <w:tcW w:w="1180" w:type="dxa"/>
            <w:tcBorders>
              <w:top w:val="single" w:sz="8" w:space="0" w:color="000000"/>
              <w:left w:val="single" w:sz="8" w:space="0" w:color="000000"/>
              <w:bottom w:val="single" w:sz="8" w:space="0" w:color="000000"/>
              <w:right w:val="single" w:sz="8" w:space="0" w:color="000000"/>
            </w:tcBorders>
          </w:tcPr>
          <w:p w14:paraId="2D1ED29F"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282D5D0" w14:textId="77777777" w:rsidR="0070589C" w:rsidRPr="00C3365C" w:rsidRDefault="0070589C" w:rsidP="00B35D9A">
            <w:pPr>
              <w:pStyle w:val="TableParagraph"/>
              <w:kinsoku w:val="0"/>
              <w:overflowPunct w:val="0"/>
              <w:spacing w:line="256" w:lineRule="auto"/>
              <w:jc w:val="both"/>
            </w:pPr>
          </w:p>
        </w:tc>
      </w:tr>
      <w:tr w:rsidR="0070589C" w:rsidRPr="00C3365C" w14:paraId="06F467C6"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074F1A1A" w14:textId="77777777" w:rsidR="0070589C" w:rsidRPr="00C3365C" w:rsidRDefault="0070589C" w:rsidP="00B35D9A">
            <w:pPr>
              <w:pStyle w:val="TableParagraph"/>
              <w:kinsoku w:val="0"/>
              <w:overflowPunct w:val="0"/>
              <w:spacing w:before="100" w:line="256" w:lineRule="auto"/>
              <w:ind w:left="110"/>
              <w:jc w:val="both"/>
            </w:pPr>
            <w:r w:rsidRPr="00C3365C">
              <w:t>abandoned hazardous waste sites</w:t>
            </w:r>
          </w:p>
        </w:tc>
        <w:tc>
          <w:tcPr>
            <w:tcW w:w="1180" w:type="dxa"/>
            <w:tcBorders>
              <w:top w:val="single" w:sz="8" w:space="0" w:color="000000"/>
              <w:left w:val="single" w:sz="8" w:space="0" w:color="000000"/>
              <w:bottom w:val="single" w:sz="8" w:space="0" w:color="000000"/>
              <w:right w:val="single" w:sz="8" w:space="0" w:color="000000"/>
            </w:tcBorders>
          </w:tcPr>
          <w:p w14:paraId="00A9162A"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71C3FE01" w14:textId="77777777" w:rsidR="0070589C" w:rsidRPr="00C3365C" w:rsidRDefault="0070589C" w:rsidP="00B35D9A">
            <w:pPr>
              <w:pStyle w:val="TableParagraph"/>
              <w:kinsoku w:val="0"/>
              <w:overflowPunct w:val="0"/>
              <w:spacing w:line="256" w:lineRule="auto"/>
              <w:jc w:val="both"/>
            </w:pPr>
          </w:p>
        </w:tc>
      </w:tr>
      <w:tr w:rsidR="0070589C" w:rsidRPr="00C3365C" w14:paraId="6F2DFFE3"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693DDC3C" w14:textId="77777777" w:rsidR="0070589C" w:rsidRPr="00C3365C" w:rsidRDefault="0070589C" w:rsidP="00B35D9A">
            <w:pPr>
              <w:pStyle w:val="TableParagraph"/>
              <w:kinsoku w:val="0"/>
              <w:overflowPunct w:val="0"/>
              <w:spacing w:before="100" w:line="256" w:lineRule="auto"/>
              <w:ind w:left="110"/>
              <w:jc w:val="both"/>
            </w:pPr>
            <w:r w:rsidRPr="00C3365C">
              <w:t>water pollution from industrial wastes</w:t>
            </w:r>
          </w:p>
        </w:tc>
        <w:tc>
          <w:tcPr>
            <w:tcW w:w="1180" w:type="dxa"/>
            <w:tcBorders>
              <w:top w:val="single" w:sz="8" w:space="0" w:color="000000"/>
              <w:left w:val="single" w:sz="8" w:space="0" w:color="000000"/>
              <w:bottom w:val="single" w:sz="8" w:space="0" w:color="000000"/>
              <w:right w:val="single" w:sz="8" w:space="0" w:color="000000"/>
            </w:tcBorders>
          </w:tcPr>
          <w:p w14:paraId="0536EAAD"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26D5B283" w14:textId="77777777" w:rsidR="0070589C" w:rsidRPr="00C3365C" w:rsidRDefault="0070589C" w:rsidP="00B35D9A">
            <w:pPr>
              <w:pStyle w:val="TableParagraph"/>
              <w:kinsoku w:val="0"/>
              <w:overflowPunct w:val="0"/>
              <w:spacing w:line="256" w:lineRule="auto"/>
              <w:jc w:val="both"/>
            </w:pPr>
          </w:p>
        </w:tc>
      </w:tr>
      <w:tr w:rsidR="0070589C" w:rsidRPr="00C3365C" w14:paraId="20510D87"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52BE9F6D" w14:textId="77777777" w:rsidR="0070589C" w:rsidRPr="00C3365C" w:rsidRDefault="0070589C" w:rsidP="00B35D9A">
            <w:pPr>
              <w:pStyle w:val="TableParagraph"/>
              <w:kinsoku w:val="0"/>
              <w:overflowPunct w:val="0"/>
              <w:spacing w:before="100" w:line="256" w:lineRule="auto"/>
              <w:ind w:left="110"/>
              <w:jc w:val="both"/>
            </w:pPr>
            <w:r w:rsidRPr="00C3365C">
              <w:t>occupational exposure to toxic chemicals</w:t>
            </w:r>
          </w:p>
        </w:tc>
        <w:tc>
          <w:tcPr>
            <w:tcW w:w="1180" w:type="dxa"/>
            <w:tcBorders>
              <w:top w:val="single" w:sz="8" w:space="0" w:color="000000"/>
              <w:left w:val="single" w:sz="8" w:space="0" w:color="000000"/>
              <w:bottom w:val="single" w:sz="8" w:space="0" w:color="000000"/>
              <w:right w:val="single" w:sz="8" w:space="0" w:color="000000"/>
            </w:tcBorders>
          </w:tcPr>
          <w:p w14:paraId="75F6EB17"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CA5D109" w14:textId="77777777" w:rsidR="0070589C" w:rsidRPr="00C3365C" w:rsidRDefault="0070589C" w:rsidP="00B35D9A">
            <w:pPr>
              <w:pStyle w:val="TableParagraph"/>
              <w:kinsoku w:val="0"/>
              <w:overflowPunct w:val="0"/>
              <w:spacing w:line="256" w:lineRule="auto"/>
              <w:jc w:val="both"/>
            </w:pPr>
          </w:p>
        </w:tc>
      </w:tr>
      <w:tr w:rsidR="0070589C" w:rsidRPr="00C3365C" w14:paraId="6C2A260B"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6080C3EA" w14:textId="77777777" w:rsidR="0070589C" w:rsidRPr="00C3365C" w:rsidRDefault="0070589C" w:rsidP="00B35D9A">
            <w:pPr>
              <w:pStyle w:val="TableParagraph"/>
              <w:kinsoku w:val="0"/>
              <w:overflowPunct w:val="0"/>
              <w:spacing w:before="100" w:line="256" w:lineRule="auto"/>
              <w:ind w:left="110"/>
              <w:jc w:val="both"/>
            </w:pPr>
            <w:r w:rsidRPr="00C3365C">
              <w:t>oil spills</w:t>
            </w:r>
          </w:p>
        </w:tc>
        <w:tc>
          <w:tcPr>
            <w:tcW w:w="1180" w:type="dxa"/>
            <w:tcBorders>
              <w:top w:val="single" w:sz="8" w:space="0" w:color="000000"/>
              <w:left w:val="single" w:sz="8" w:space="0" w:color="000000"/>
              <w:bottom w:val="single" w:sz="8" w:space="0" w:color="000000"/>
              <w:right w:val="single" w:sz="8" w:space="0" w:color="000000"/>
            </w:tcBorders>
          </w:tcPr>
          <w:p w14:paraId="46E8D9F9"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6DFF09DC" w14:textId="77777777" w:rsidR="0070589C" w:rsidRPr="00C3365C" w:rsidRDefault="0070589C" w:rsidP="00B35D9A">
            <w:pPr>
              <w:pStyle w:val="TableParagraph"/>
              <w:kinsoku w:val="0"/>
              <w:overflowPunct w:val="0"/>
              <w:spacing w:line="256" w:lineRule="auto"/>
              <w:jc w:val="both"/>
            </w:pPr>
          </w:p>
        </w:tc>
      </w:tr>
      <w:tr w:rsidR="0070589C" w:rsidRPr="00C3365C" w14:paraId="1977B245"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8026E35" w14:textId="77777777" w:rsidR="0070589C" w:rsidRPr="00C3365C" w:rsidRDefault="0070589C" w:rsidP="00B35D9A">
            <w:pPr>
              <w:pStyle w:val="TableParagraph"/>
              <w:kinsoku w:val="0"/>
              <w:overflowPunct w:val="0"/>
              <w:spacing w:before="100" w:line="256" w:lineRule="auto"/>
              <w:ind w:left="110"/>
              <w:jc w:val="both"/>
            </w:pPr>
            <w:r w:rsidRPr="00C3365C">
              <w:t>destruction of the ozone layer</w:t>
            </w:r>
          </w:p>
        </w:tc>
        <w:tc>
          <w:tcPr>
            <w:tcW w:w="1180" w:type="dxa"/>
            <w:tcBorders>
              <w:top w:val="single" w:sz="8" w:space="0" w:color="000000"/>
              <w:left w:val="single" w:sz="8" w:space="0" w:color="000000"/>
              <w:bottom w:val="single" w:sz="8" w:space="0" w:color="000000"/>
              <w:right w:val="single" w:sz="8" w:space="0" w:color="000000"/>
            </w:tcBorders>
          </w:tcPr>
          <w:p w14:paraId="004AA4A0"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4A9A3889" w14:textId="77777777" w:rsidR="0070589C" w:rsidRPr="00C3365C" w:rsidRDefault="0070589C" w:rsidP="00B35D9A">
            <w:pPr>
              <w:pStyle w:val="TableParagraph"/>
              <w:kinsoku w:val="0"/>
              <w:overflowPunct w:val="0"/>
              <w:spacing w:line="256" w:lineRule="auto"/>
              <w:jc w:val="both"/>
            </w:pPr>
          </w:p>
        </w:tc>
      </w:tr>
      <w:tr w:rsidR="0070589C" w:rsidRPr="00C3365C" w14:paraId="27EA4FD4"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1FFEC268" w14:textId="77777777" w:rsidR="0070589C" w:rsidRPr="00C3365C" w:rsidRDefault="0070589C" w:rsidP="00B35D9A">
            <w:pPr>
              <w:pStyle w:val="TableParagraph"/>
              <w:kinsoku w:val="0"/>
              <w:overflowPunct w:val="0"/>
              <w:spacing w:before="100" w:line="256" w:lineRule="auto"/>
              <w:ind w:left="110"/>
              <w:jc w:val="both"/>
            </w:pPr>
            <w:r w:rsidRPr="00C3365C">
              <w:t>nuclear power plant accidents</w:t>
            </w:r>
          </w:p>
        </w:tc>
        <w:tc>
          <w:tcPr>
            <w:tcW w:w="1180" w:type="dxa"/>
            <w:tcBorders>
              <w:top w:val="single" w:sz="8" w:space="0" w:color="000000"/>
              <w:left w:val="single" w:sz="8" w:space="0" w:color="000000"/>
              <w:bottom w:val="single" w:sz="8" w:space="0" w:color="000000"/>
              <w:right w:val="single" w:sz="8" w:space="0" w:color="000000"/>
            </w:tcBorders>
          </w:tcPr>
          <w:p w14:paraId="0B74D23F"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BB272C9" w14:textId="77777777" w:rsidR="0070589C" w:rsidRPr="00C3365C" w:rsidRDefault="0070589C" w:rsidP="00B35D9A">
            <w:pPr>
              <w:pStyle w:val="TableParagraph"/>
              <w:kinsoku w:val="0"/>
              <w:overflowPunct w:val="0"/>
              <w:spacing w:line="256" w:lineRule="auto"/>
              <w:jc w:val="both"/>
            </w:pPr>
          </w:p>
        </w:tc>
      </w:tr>
      <w:tr w:rsidR="0070589C" w:rsidRPr="00C3365C" w14:paraId="5A5FD895"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63054471" w14:textId="77777777" w:rsidR="0070589C" w:rsidRPr="00C3365C" w:rsidRDefault="0070589C" w:rsidP="00B35D9A">
            <w:pPr>
              <w:pStyle w:val="TableParagraph"/>
              <w:kinsoku w:val="0"/>
              <w:overflowPunct w:val="0"/>
              <w:spacing w:before="100" w:line="256" w:lineRule="auto"/>
              <w:ind w:left="110"/>
              <w:jc w:val="both"/>
            </w:pPr>
            <w:r w:rsidRPr="00C3365C">
              <w:t>industrial accidents releasing pollutants</w:t>
            </w:r>
          </w:p>
        </w:tc>
        <w:tc>
          <w:tcPr>
            <w:tcW w:w="1180" w:type="dxa"/>
            <w:tcBorders>
              <w:top w:val="single" w:sz="8" w:space="0" w:color="000000"/>
              <w:left w:val="single" w:sz="8" w:space="0" w:color="000000"/>
              <w:bottom w:val="single" w:sz="8" w:space="0" w:color="000000"/>
              <w:right w:val="single" w:sz="8" w:space="0" w:color="000000"/>
            </w:tcBorders>
          </w:tcPr>
          <w:p w14:paraId="5C1F8761"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40997665" w14:textId="77777777" w:rsidR="0070589C" w:rsidRPr="00C3365C" w:rsidRDefault="0070589C" w:rsidP="00B35D9A">
            <w:pPr>
              <w:pStyle w:val="TableParagraph"/>
              <w:kinsoku w:val="0"/>
              <w:overflowPunct w:val="0"/>
              <w:spacing w:line="256" w:lineRule="auto"/>
              <w:jc w:val="both"/>
            </w:pPr>
          </w:p>
        </w:tc>
      </w:tr>
      <w:tr w:rsidR="0070589C" w:rsidRPr="00C3365C" w14:paraId="222C9023"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A04A871" w14:textId="77777777" w:rsidR="0070589C" w:rsidRPr="00C3365C" w:rsidRDefault="0070589C" w:rsidP="00B35D9A">
            <w:pPr>
              <w:pStyle w:val="TableParagraph"/>
              <w:kinsoku w:val="0"/>
              <w:overflowPunct w:val="0"/>
              <w:spacing w:before="100" w:line="256" w:lineRule="auto"/>
              <w:ind w:left="110"/>
              <w:jc w:val="both"/>
            </w:pPr>
            <w:r w:rsidRPr="00C3365C">
              <w:t>radiation from radioactive waste sites</w:t>
            </w:r>
          </w:p>
        </w:tc>
        <w:tc>
          <w:tcPr>
            <w:tcW w:w="1180" w:type="dxa"/>
            <w:tcBorders>
              <w:top w:val="single" w:sz="8" w:space="0" w:color="000000"/>
              <w:left w:val="single" w:sz="8" w:space="0" w:color="000000"/>
              <w:bottom w:val="single" w:sz="8" w:space="0" w:color="000000"/>
              <w:right w:val="single" w:sz="8" w:space="0" w:color="000000"/>
            </w:tcBorders>
          </w:tcPr>
          <w:p w14:paraId="0FBEC880"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251E9AFD" w14:textId="77777777" w:rsidR="0070589C" w:rsidRPr="00C3365C" w:rsidRDefault="0070589C" w:rsidP="00B35D9A">
            <w:pPr>
              <w:pStyle w:val="TableParagraph"/>
              <w:kinsoku w:val="0"/>
              <w:overflowPunct w:val="0"/>
              <w:spacing w:line="256" w:lineRule="auto"/>
              <w:jc w:val="both"/>
            </w:pPr>
          </w:p>
        </w:tc>
      </w:tr>
      <w:tr w:rsidR="0070589C" w:rsidRPr="00C3365C" w14:paraId="1C8E9D37"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2A25958" w14:textId="77777777" w:rsidR="0070589C" w:rsidRPr="00C3365C" w:rsidRDefault="0070589C" w:rsidP="00B35D9A">
            <w:pPr>
              <w:pStyle w:val="TableParagraph"/>
              <w:kinsoku w:val="0"/>
              <w:overflowPunct w:val="0"/>
              <w:spacing w:before="100" w:line="256" w:lineRule="auto"/>
              <w:ind w:left="110"/>
              <w:jc w:val="both"/>
            </w:pPr>
            <w:r w:rsidRPr="00C3365C">
              <w:t>air pollution from factories</w:t>
            </w:r>
          </w:p>
        </w:tc>
        <w:tc>
          <w:tcPr>
            <w:tcW w:w="1180" w:type="dxa"/>
            <w:tcBorders>
              <w:top w:val="single" w:sz="8" w:space="0" w:color="000000"/>
              <w:left w:val="single" w:sz="8" w:space="0" w:color="000000"/>
              <w:bottom w:val="single" w:sz="8" w:space="0" w:color="000000"/>
              <w:right w:val="single" w:sz="8" w:space="0" w:color="000000"/>
            </w:tcBorders>
          </w:tcPr>
          <w:p w14:paraId="494A5B83"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44A58290" w14:textId="77777777" w:rsidR="0070589C" w:rsidRPr="00C3365C" w:rsidRDefault="0070589C" w:rsidP="00B35D9A">
            <w:pPr>
              <w:pStyle w:val="TableParagraph"/>
              <w:kinsoku w:val="0"/>
              <w:overflowPunct w:val="0"/>
              <w:spacing w:line="256" w:lineRule="auto"/>
              <w:jc w:val="both"/>
            </w:pPr>
          </w:p>
        </w:tc>
      </w:tr>
      <w:tr w:rsidR="0070589C" w:rsidRPr="00C3365C" w14:paraId="4F1873AA"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63204B9" w14:textId="77777777" w:rsidR="0070589C" w:rsidRPr="00C3365C" w:rsidRDefault="0070589C" w:rsidP="00B35D9A">
            <w:pPr>
              <w:pStyle w:val="TableParagraph"/>
              <w:kinsoku w:val="0"/>
              <w:overflowPunct w:val="0"/>
              <w:spacing w:before="100" w:line="256" w:lineRule="auto"/>
              <w:ind w:left="110"/>
              <w:jc w:val="both"/>
            </w:pPr>
            <w:r w:rsidRPr="00C3365C">
              <w:t>leading underground storage tanks</w:t>
            </w:r>
          </w:p>
        </w:tc>
        <w:tc>
          <w:tcPr>
            <w:tcW w:w="1180" w:type="dxa"/>
            <w:tcBorders>
              <w:top w:val="single" w:sz="8" w:space="0" w:color="000000"/>
              <w:left w:val="single" w:sz="8" w:space="0" w:color="000000"/>
              <w:bottom w:val="single" w:sz="8" w:space="0" w:color="000000"/>
              <w:right w:val="single" w:sz="8" w:space="0" w:color="000000"/>
            </w:tcBorders>
          </w:tcPr>
          <w:p w14:paraId="67EBFA75"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62F43EC2" w14:textId="77777777" w:rsidR="0070589C" w:rsidRPr="00C3365C" w:rsidRDefault="0070589C" w:rsidP="00B35D9A">
            <w:pPr>
              <w:pStyle w:val="TableParagraph"/>
              <w:kinsoku w:val="0"/>
              <w:overflowPunct w:val="0"/>
              <w:spacing w:line="256" w:lineRule="auto"/>
              <w:jc w:val="both"/>
            </w:pPr>
          </w:p>
        </w:tc>
      </w:tr>
      <w:tr w:rsidR="0070589C" w:rsidRPr="00C3365C" w14:paraId="0B3A3E58"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781A1CC4" w14:textId="77777777" w:rsidR="0070589C" w:rsidRPr="00C3365C" w:rsidRDefault="0070589C" w:rsidP="00B35D9A">
            <w:pPr>
              <w:pStyle w:val="TableParagraph"/>
              <w:kinsoku w:val="0"/>
              <w:overflowPunct w:val="0"/>
              <w:spacing w:before="100" w:line="256" w:lineRule="auto"/>
              <w:ind w:left="110"/>
              <w:jc w:val="both"/>
            </w:pPr>
            <w:r w:rsidRPr="00C3365C">
              <w:t>coastal water contamination</w:t>
            </w:r>
          </w:p>
        </w:tc>
        <w:tc>
          <w:tcPr>
            <w:tcW w:w="1180" w:type="dxa"/>
            <w:tcBorders>
              <w:top w:val="single" w:sz="8" w:space="0" w:color="000000"/>
              <w:left w:val="single" w:sz="8" w:space="0" w:color="000000"/>
              <w:bottom w:val="single" w:sz="8" w:space="0" w:color="000000"/>
              <w:right w:val="single" w:sz="8" w:space="0" w:color="000000"/>
            </w:tcBorders>
          </w:tcPr>
          <w:p w14:paraId="1CCE8D82"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3B1762E8" w14:textId="77777777" w:rsidR="0070589C" w:rsidRPr="00C3365C" w:rsidRDefault="0070589C" w:rsidP="00B35D9A">
            <w:pPr>
              <w:pStyle w:val="TableParagraph"/>
              <w:kinsoku w:val="0"/>
              <w:overflowPunct w:val="0"/>
              <w:spacing w:line="256" w:lineRule="auto"/>
              <w:jc w:val="both"/>
            </w:pPr>
          </w:p>
        </w:tc>
      </w:tr>
      <w:tr w:rsidR="0070589C" w:rsidRPr="00C3365C" w14:paraId="58F66CA2"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54766433" w14:textId="77777777" w:rsidR="0070589C" w:rsidRPr="00C3365C" w:rsidRDefault="0070589C" w:rsidP="00B35D9A">
            <w:pPr>
              <w:pStyle w:val="TableParagraph"/>
              <w:kinsoku w:val="0"/>
              <w:overflowPunct w:val="0"/>
              <w:spacing w:before="100" w:line="256" w:lineRule="auto"/>
              <w:ind w:left="110"/>
              <w:jc w:val="both"/>
            </w:pPr>
            <w:r w:rsidRPr="00C3365C">
              <w:t>solid waste and litter</w:t>
            </w:r>
          </w:p>
        </w:tc>
        <w:tc>
          <w:tcPr>
            <w:tcW w:w="1180" w:type="dxa"/>
            <w:tcBorders>
              <w:top w:val="single" w:sz="8" w:space="0" w:color="000000"/>
              <w:left w:val="single" w:sz="8" w:space="0" w:color="000000"/>
              <w:bottom w:val="single" w:sz="8" w:space="0" w:color="000000"/>
              <w:right w:val="single" w:sz="8" w:space="0" w:color="000000"/>
            </w:tcBorders>
          </w:tcPr>
          <w:p w14:paraId="5CEED523"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51738D09" w14:textId="77777777" w:rsidR="0070589C" w:rsidRPr="00C3365C" w:rsidRDefault="0070589C" w:rsidP="00B35D9A">
            <w:pPr>
              <w:pStyle w:val="TableParagraph"/>
              <w:kinsoku w:val="0"/>
              <w:overflowPunct w:val="0"/>
              <w:spacing w:line="256" w:lineRule="auto"/>
              <w:jc w:val="both"/>
            </w:pPr>
          </w:p>
        </w:tc>
      </w:tr>
      <w:tr w:rsidR="0070589C" w:rsidRPr="00C3365C" w14:paraId="46E7C49B"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00B25EF1" w14:textId="77777777" w:rsidR="0070589C" w:rsidRPr="00C3365C" w:rsidRDefault="0070589C" w:rsidP="00B35D9A">
            <w:pPr>
              <w:pStyle w:val="TableParagraph"/>
              <w:kinsoku w:val="0"/>
              <w:overflowPunct w:val="0"/>
              <w:spacing w:before="100" w:line="256" w:lineRule="auto"/>
              <w:ind w:left="110"/>
              <w:jc w:val="both"/>
            </w:pPr>
            <w:r w:rsidRPr="00C3365C">
              <w:t>pesticide risk to farm workers</w:t>
            </w:r>
          </w:p>
        </w:tc>
        <w:tc>
          <w:tcPr>
            <w:tcW w:w="1180" w:type="dxa"/>
            <w:tcBorders>
              <w:top w:val="single" w:sz="8" w:space="0" w:color="000000"/>
              <w:left w:val="single" w:sz="8" w:space="0" w:color="000000"/>
              <w:bottom w:val="single" w:sz="8" w:space="0" w:color="000000"/>
              <w:right w:val="single" w:sz="8" w:space="0" w:color="000000"/>
            </w:tcBorders>
          </w:tcPr>
          <w:p w14:paraId="55F10018"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99D6992" w14:textId="77777777" w:rsidR="0070589C" w:rsidRPr="00C3365C" w:rsidRDefault="0070589C" w:rsidP="00B35D9A">
            <w:pPr>
              <w:pStyle w:val="TableParagraph"/>
              <w:kinsoku w:val="0"/>
              <w:overflowPunct w:val="0"/>
              <w:spacing w:line="256" w:lineRule="auto"/>
              <w:jc w:val="both"/>
            </w:pPr>
          </w:p>
        </w:tc>
      </w:tr>
      <w:tr w:rsidR="0070589C" w:rsidRPr="00C3365C" w14:paraId="66A36213"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446E3B7C" w14:textId="77777777" w:rsidR="0070589C" w:rsidRPr="00C3365C" w:rsidRDefault="0070589C" w:rsidP="00B35D9A">
            <w:pPr>
              <w:pStyle w:val="TableParagraph"/>
              <w:kinsoku w:val="0"/>
              <w:overflowPunct w:val="0"/>
              <w:spacing w:before="100" w:line="256" w:lineRule="auto"/>
              <w:ind w:left="110"/>
              <w:jc w:val="both"/>
            </w:pPr>
            <w:r w:rsidRPr="00C3365C">
              <w:t>water pollution from agricultural runoff</w:t>
            </w:r>
          </w:p>
        </w:tc>
        <w:tc>
          <w:tcPr>
            <w:tcW w:w="1180" w:type="dxa"/>
            <w:tcBorders>
              <w:top w:val="single" w:sz="8" w:space="0" w:color="000000"/>
              <w:left w:val="single" w:sz="8" w:space="0" w:color="000000"/>
              <w:bottom w:val="single" w:sz="8" w:space="0" w:color="000000"/>
              <w:right w:val="single" w:sz="8" w:space="0" w:color="000000"/>
            </w:tcBorders>
          </w:tcPr>
          <w:p w14:paraId="53ECE155"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418D5930" w14:textId="77777777" w:rsidR="0070589C" w:rsidRPr="00C3365C" w:rsidRDefault="0070589C" w:rsidP="00B35D9A">
            <w:pPr>
              <w:pStyle w:val="TableParagraph"/>
              <w:kinsoku w:val="0"/>
              <w:overflowPunct w:val="0"/>
              <w:spacing w:line="256" w:lineRule="auto"/>
              <w:jc w:val="both"/>
            </w:pPr>
          </w:p>
        </w:tc>
      </w:tr>
      <w:tr w:rsidR="0070589C" w:rsidRPr="00C3365C" w14:paraId="1AE6AA85"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4F6525D" w14:textId="77777777" w:rsidR="0070589C" w:rsidRPr="00C3365C" w:rsidRDefault="0070589C" w:rsidP="00B35D9A">
            <w:pPr>
              <w:pStyle w:val="TableParagraph"/>
              <w:kinsoku w:val="0"/>
              <w:overflowPunct w:val="0"/>
              <w:spacing w:before="100" w:line="256" w:lineRule="auto"/>
              <w:ind w:left="110"/>
              <w:jc w:val="both"/>
            </w:pPr>
            <w:r w:rsidRPr="00C3365C">
              <w:t>water pollution from sewage plants</w:t>
            </w:r>
          </w:p>
        </w:tc>
        <w:tc>
          <w:tcPr>
            <w:tcW w:w="1180" w:type="dxa"/>
            <w:tcBorders>
              <w:top w:val="single" w:sz="8" w:space="0" w:color="000000"/>
              <w:left w:val="single" w:sz="8" w:space="0" w:color="000000"/>
              <w:bottom w:val="single" w:sz="8" w:space="0" w:color="000000"/>
              <w:right w:val="single" w:sz="8" w:space="0" w:color="000000"/>
            </w:tcBorders>
          </w:tcPr>
          <w:p w14:paraId="18C27D00"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784219DA" w14:textId="77777777" w:rsidR="0070589C" w:rsidRPr="00C3365C" w:rsidRDefault="0070589C" w:rsidP="00B35D9A">
            <w:pPr>
              <w:pStyle w:val="TableParagraph"/>
              <w:kinsoku w:val="0"/>
              <w:overflowPunct w:val="0"/>
              <w:spacing w:line="256" w:lineRule="auto"/>
              <w:jc w:val="both"/>
            </w:pPr>
          </w:p>
        </w:tc>
      </w:tr>
      <w:tr w:rsidR="0070589C" w:rsidRPr="00C3365C" w14:paraId="31B7146E"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1E288091" w14:textId="77777777" w:rsidR="0070589C" w:rsidRPr="00C3365C" w:rsidRDefault="0070589C" w:rsidP="00B35D9A">
            <w:pPr>
              <w:pStyle w:val="TableParagraph"/>
              <w:kinsoku w:val="0"/>
              <w:overflowPunct w:val="0"/>
              <w:spacing w:before="100" w:line="256" w:lineRule="auto"/>
              <w:ind w:left="110"/>
              <w:jc w:val="both"/>
            </w:pPr>
            <w:r w:rsidRPr="00C3365C">
              <w:t>air pollution from vehicles</w:t>
            </w:r>
          </w:p>
        </w:tc>
        <w:tc>
          <w:tcPr>
            <w:tcW w:w="1180" w:type="dxa"/>
            <w:tcBorders>
              <w:top w:val="single" w:sz="8" w:space="0" w:color="000000"/>
              <w:left w:val="single" w:sz="8" w:space="0" w:color="000000"/>
              <w:bottom w:val="single" w:sz="8" w:space="0" w:color="000000"/>
              <w:right w:val="single" w:sz="8" w:space="0" w:color="000000"/>
            </w:tcBorders>
          </w:tcPr>
          <w:p w14:paraId="12D902C3"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2A4B9C47" w14:textId="77777777" w:rsidR="0070589C" w:rsidRPr="00C3365C" w:rsidRDefault="0070589C" w:rsidP="00B35D9A">
            <w:pPr>
              <w:pStyle w:val="TableParagraph"/>
              <w:kinsoku w:val="0"/>
              <w:overflowPunct w:val="0"/>
              <w:spacing w:line="256" w:lineRule="auto"/>
              <w:jc w:val="both"/>
            </w:pPr>
          </w:p>
        </w:tc>
      </w:tr>
      <w:tr w:rsidR="0070589C" w:rsidRPr="00C3365C" w14:paraId="4A0F6488"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5797821F" w14:textId="77777777" w:rsidR="0070589C" w:rsidRPr="00C3365C" w:rsidRDefault="0070589C" w:rsidP="00B35D9A">
            <w:pPr>
              <w:pStyle w:val="TableParagraph"/>
              <w:kinsoku w:val="0"/>
              <w:overflowPunct w:val="0"/>
              <w:spacing w:before="100" w:line="256" w:lineRule="auto"/>
              <w:ind w:left="110"/>
              <w:jc w:val="both"/>
            </w:pPr>
            <w:r w:rsidRPr="00C3365C">
              <w:t>pesticide residues in food</w:t>
            </w:r>
          </w:p>
        </w:tc>
        <w:tc>
          <w:tcPr>
            <w:tcW w:w="1180" w:type="dxa"/>
            <w:tcBorders>
              <w:top w:val="single" w:sz="8" w:space="0" w:color="000000"/>
              <w:left w:val="single" w:sz="8" w:space="0" w:color="000000"/>
              <w:bottom w:val="single" w:sz="8" w:space="0" w:color="000000"/>
              <w:right w:val="single" w:sz="8" w:space="0" w:color="000000"/>
            </w:tcBorders>
          </w:tcPr>
          <w:p w14:paraId="6A67C802"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2A70F262" w14:textId="77777777" w:rsidR="0070589C" w:rsidRPr="00C3365C" w:rsidRDefault="0070589C" w:rsidP="00B35D9A">
            <w:pPr>
              <w:pStyle w:val="TableParagraph"/>
              <w:kinsoku w:val="0"/>
              <w:overflowPunct w:val="0"/>
              <w:spacing w:line="256" w:lineRule="auto"/>
              <w:jc w:val="both"/>
            </w:pPr>
          </w:p>
        </w:tc>
      </w:tr>
      <w:tr w:rsidR="0070589C" w:rsidRPr="00C3365C" w14:paraId="65FC9A86"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4B908175" w14:textId="77777777" w:rsidR="0070589C" w:rsidRPr="00C3365C" w:rsidRDefault="0070589C" w:rsidP="00B35D9A">
            <w:pPr>
              <w:pStyle w:val="TableParagraph"/>
              <w:kinsoku w:val="0"/>
              <w:overflowPunct w:val="0"/>
              <w:spacing w:before="100" w:line="256" w:lineRule="auto"/>
              <w:ind w:left="110"/>
              <w:jc w:val="both"/>
            </w:pPr>
            <w:r w:rsidRPr="00C3365C">
              <w:t>greenhouse effect</w:t>
            </w:r>
          </w:p>
        </w:tc>
        <w:tc>
          <w:tcPr>
            <w:tcW w:w="1180" w:type="dxa"/>
            <w:tcBorders>
              <w:top w:val="single" w:sz="8" w:space="0" w:color="000000"/>
              <w:left w:val="single" w:sz="8" w:space="0" w:color="000000"/>
              <w:bottom w:val="single" w:sz="8" w:space="0" w:color="000000"/>
              <w:right w:val="single" w:sz="8" w:space="0" w:color="000000"/>
            </w:tcBorders>
          </w:tcPr>
          <w:p w14:paraId="01C34D5C"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3C7B6C75" w14:textId="77777777" w:rsidR="0070589C" w:rsidRPr="00C3365C" w:rsidRDefault="0070589C" w:rsidP="00B35D9A">
            <w:pPr>
              <w:pStyle w:val="TableParagraph"/>
              <w:kinsoku w:val="0"/>
              <w:overflowPunct w:val="0"/>
              <w:spacing w:line="256" w:lineRule="auto"/>
              <w:jc w:val="both"/>
            </w:pPr>
          </w:p>
        </w:tc>
      </w:tr>
      <w:tr w:rsidR="0070589C" w:rsidRPr="00C3365C" w14:paraId="60C042F8"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6C0E53E" w14:textId="77777777" w:rsidR="0070589C" w:rsidRPr="00C3365C" w:rsidRDefault="0070589C" w:rsidP="00B35D9A">
            <w:pPr>
              <w:pStyle w:val="TableParagraph"/>
              <w:kinsoku w:val="0"/>
              <w:overflowPunct w:val="0"/>
              <w:spacing w:before="100" w:line="256" w:lineRule="auto"/>
              <w:ind w:left="110"/>
              <w:jc w:val="both"/>
            </w:pPr>
            <w:r w:rsidRPr="00C3365C">
              <w:t>drinking water contamination</w:t>
            </w:r>
          </w:p>
        </w:tc>
        <w:tc>
          <w:tcPr>
            <w:tcW w:w="1180" w:type="dxa"/>
            <w:tcBorders>
              <w:top w:val="single" w:sz="8" w:space="0" w:color="000000"/>
              <w:left w:val="single" w:sz="8" w:space="0" w:color="000000"/>
              <w:bottom w:val="single" w:sz="8" w:space="0" w:color="000000"/>
              <w:right w:val="single" w:sz="8" w:space="0" w:color="000000"/>
            </w:tcBorders>
          </w:tcPr>
          <w:p w14:paraId="512737D7"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68961569" w14:textId="77777777" w:rsidR="0070589C" w:rsidRPr="00C3365C" w:rsidRDefault="0070589C" w:rsidP="00B35D9A">
            <w:pPr>
              <w:pStyle w:val="TableParagraph"/>
              <w:kinsoku w:val="0"/>
              <w:overflowPunct w:val="0"/>
              <w:spacing w:line="256" w:lineRule="auto"/>
              <w:jc w:val="both"/>
            </w:pPr>
          </w:p>
        </w:tc>
      </w:tr>
      <w:tr w:rsidR="0070589C" w:rsidRPr="00C3365C" w14:paraId="15673179"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4AD61E87" w14:textId="77777777" w:rsidR="0070589C" w:rsidRPr="00C3365C" w:rsidRDefault="0070589C" w:rsidP="00B35D9A">
            <w:pPr>
              <w:pStyle w:val="TableParagraph"/>
              <w:kinsoku w:val="0"/>
              <w:overflowPunct w:val="0"/>
              <w:spacing w:before="100" w:line="256" w:lineRule="auto"/>
              <w:ind w:left="110"/>
              <w:jc w:val="both"/>
            </w:pPr>
            <w:r w:rsidRPr="00C3365C">
              <w:t>destruction of wetlands</w:t>
            </w:r>
          </w:p>
        </w:tc>
        <w:tc>
          <w:tcPr>
            <w:tcW w:w="1180" w:type="dxa"/>
            <w:tcBorders>
              <w:top w:val="single" w:sz="8" w:space="0" w:color="000000"/>
              <w:left w:val="single" w:sz="8" w:space="0" w:color="000000"/>
              <w:bottom w:val="single" w:sz="8" w:space="0" w:color="000000"/>
              <w:right w:val="single" w:sz="8" w:space="0" w:color="000000"/>
            </w:tcBorders>
          </w:tcPr>
          <w:p w14:paraId="135DF33E"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6494EF8" w14:textId="77777777" w:rsidR="0070589C" w:rsidRPr="00C3365C" w:rsidRDefault="0070589C" w:rsidP="00B35D9A">
            <w:pPr>
              <w:pStyle w:val="TableParagraph"/>
              <w:kinsoku w:val="0"/>
              <w:overflowPunct w:val="0"/>
              <w:spacing w:line="256" w:lineRule="auto"/>
              <w:jc w:val="both"/>
            </w:pPr>
          </w:p>
        </w:tc>
      </w:tr>
      <w:tr w:rsidR="0070589C" w:rsidRPr="00C3365C" w14:paraId="50FD988F"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32E1BD55" w14:textId="77777777" w:rsidR="0070589C" w:rsidRPr="00C3365C" w:rsidRDefault="0070589C" w:rsidP="00B35D9A">
            <w:pPr>
              <w:pStyle w:val="TableParagraph"/>
              <w:kinsoku w:val="0"/>
              <w:overflowPunct w:val="0"/>
              <w:spacing w:before="100" w:line="256" w:lineRule="auto"/>
              <w:ind w:left="110"/>
              <w:jc w:val="both"/>
            </w:pPr>
            <w:r w:rsidRPr="00C3365C">
              <w:t>acid rain</w:t>
            </w:r>
          </w:p>
        </w:tc>
        <w:tc>
          <w:tcPr>
            <w:tcW w:w="1180" w:type="dxa"/>
            <w:tcBorders>
              <w:top w:val="single" w:sz="8" w:space="0" w:color="000000"/>
              <w:left w:val="single" w:sz="8" w:space="0" w:color="000000"/>
              <w:bottom w:val="single" w:sz="8" w:space="0" w:color="000000"/>
              <w:right w:val="single" w:sz="8" w:space="0" w:color="000000"/>
            </w:tcBorders>
          </w:tcPr>
          <w:p w14:paraId="19293F92"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5E7887C6" w14:textId="77777777" w:rsidR="0070589C" w:rsidRPr="00C3365C" w:rsidRDefault="0070589C" w:rsidP="00B35D9A">
            <w:pPr>
              <w:pStyle w:val="TableParagraph"/>
              <w:kinsoku w:val="0"/>
              <w:overflowPunct w:val="0"/>
              <w:spacing w:line="256" w:lineRule="auto"/>
              <w:jc w:val="both"/>
            </w:pPr>
          </w:p>
        </w:tc>
      </w:tr>
      <w:tr w:rsidR="0070589C" w:rsidRPr="00C3365C" w14:paraId="690E40E7"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2BD299CA" w14:textId="77777777" w:rsidR="0070589C" w:rsidRPr="00C3365C" w:rsidRDefault="0070589C" w:rsidP="00B35D9A">
            <w:pPr>
              <w:pStyle w:val="TableParagraph"/>
              <w:kinsoku w:val="0"/>
              <w:overflowPunct w:val="0"/>
              <w:spacing w:before="100" w:line="256" w:lineRule="auto"/>
              <w:ind w:left="110"/>
              <w:jc w:val="both"/>
            </w:pPr>
            <w:r w:rsidRPr="00C3365C">
              <w:t>water pollution from city runoff</w:t>
            </w:r>
          </w:p>
        </w:tc>
        <w:tc>
          <w:tcPr>
            <w:tcW w:w="1180" w:type="dxa"/>
            <w:tcBorders>
              <w:top w:val="single" w:sz="8" w:space="0" w:color="000000"/>
              <w:left w:val="single" w:sz="8" w:space="0" w:color="000000"/>
              <w:bottom w:val="single" w:sz="8" w:space="0" w:color="000000"/>
              <w:right w:val="single" w:sz="8" w:space="0" w:color="000000"/>
            </w:tcBorders>
          </w:tcPr>
          <w:p w14:paraId="4962AD2E"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699A8C89" w14:textId="77777777" w:rsidR="0070589C" w:rsidRPr="00C3365C" w:rsidRDefault="0070589C" w:rsidP="00B35D9A">
            <w:pPr>
              <w:pStyle w:val="TableParagraph"/>
              <w:kinsoku w:val="0"/>
              <w:overflowPunct w:val="0"/>
              <w:spacing w:line="256" w:lineRule="auto"/>
              <w:jc w:val="both"/>
            </w:pPr>
          </w:p>
        </w:tc>
      </w:tr>
      <w:tr w:rsidR="0070589C" w:rsidRPr="00C3365C" w14:paraId="64E3634B"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62DCD5A7" w14:textId="77777777" w:rsidR="0070589C" w:rsidRPr="00C3365C" w:rsidRDefault="0070589C" w:rsidP="00B35D9A">
            <w:pPr>
              <w:pStyle w:val="TableParagraph"/>
              <w:kinsoku w:val="0"/>
              <w:overflowPunct w:val="0"/>
              <w:spacing w:before="100" w:line="256" w:lineRule="auto"/>
              <w:ind w:left="110"/>
              <w:jc w:val="both"/>
            </w:pPr>
            <w:r w:rsidRPr="00C3365C">
              <w:t>nonhazardous waste sites</w:t>
            </w:r>
          </w:p>
        </w:tc>
        <w:tc>
          <w:tcPr>
            <w:tcW w:w="1180" w:type="dxa"/>
            <w:tcBorders>
              <w:top w:val="single" w:sz="8" w:space="0" w:color="000000"/>
              <w:left w:val="single" w:sz="8" w:space="0" w:color="000000"/>
              <w:bottom w:val="single" w:sz="8" w:space="0" w:color="000000"/>
              <w:right w:val="single" w:sz="8" w:space="0" w:color="000000"/>
            </w:tcBorders>
          </w:tcPr>
          <w:p w14:paraId="4CFD4B8C"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2C481892" w14:textId="77777777" w:rsidR="0070589C" w:rsidRPr="00C3365C" w:rsidRDefault="0070589C" w:rsidP="00B35D9A">
            <w:pPr>
              <w:pStyle w:val="TableParagraph"/>
              <w:kinsoku w:val="0"/>
              <w:overflowPunct w:val="0"/>
              <w:spacing w:line="256" w:lineRule="auto"/>
              <w:jc w:val="both"/>
            </w:pPr>
          </w:p>
        </w:tc>
      </w:tr>
      <w:tr w:rsidR="0070589C" w:rsidRPr="00C3365C" w14:paraId="032EB9B8"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02650E50" w14:textId="77777777" w:rsidR="0070589C" w:rsidRPr="00C3365C" w:rsidRDefault="0070589C" w:rsidP="00B35D9A">
            <w:pPr>
              <w:pStyle w:val="TableParagraph"/>
              <w:kinsoku w:val="0"/>
              <w:overflowPunct w:val="0"/>
              <w:spacing w:before="100" w:line="256" w:lineRule="auto"/>
              <w:ind w:left="110"/>
              <w:jc w:val="both"/>
            </w:pPr>
            <w:r w:rsidRPr="00C3365C">
              <w:t>Biotechnology</w:t>
            </w:r>
          </w:p>
        </w:tc>
        <w:tc>
          <w:tcPr>
            <w:tcW w:w="1180" w:type="dxa"/>
            <w:tcBorders>
              <w:top w:val="single" w:sz="8" w:space="0" w:color="000000"/>
              <w:left w:val="single" w:sz="8" w:space="0" w:color="000000"/>
              <w:bottom w:val="single" w:sz="8" w:space="0" w:color="000000"/>
              <w:right w:val="single" w:sz="8" w:space="0" w:color="000000"/>
            </w:tcBorders>
          </w:tcPr>
          <w:p w14:paraId="79E2D346"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0DD017D3" w14:textId="77777777" w:rsidR="0070589C" w:rsidRPr="00C3365C" w:rsidRDefault="0070589C" w:rsidP="00B35D9A">
            <w:pPr>
              <w:pStyle w:val="TableParagraph"/>
              <w:kinsoku w:val="0"/>
              <w:overflowPunct w:val="0"/>
              <w:spacing w:line="256" w:lineRule="auto"/>
              <w:jc w:val="both"/>
            </w:pPr>
          </w:p>
        </w:tc>
      </w:tr>
      <w:tr w:rsidR="0070589C" w:rsidRPr="00C3365C" w14:paraId="2AB7BC01"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329786EF" w14:textId="77777777" w:rsidR="0070589C" w:rsidRPr="00C3365C" w:rsidRDefault="0070589C" w:rsidP="00B35D9A">
            <w:pPr>
              <w:pStyle w:val="TableParagraph"/>
              <w:kinsoku w:val="0"/>
              <w:overflowPunct w:val="0"/>
              <w:spacing w:before="100" w:line="256" w:lineRule="auto"/>
              <w:ind w:left="110"/>
              <w:jc w:val="both"/>
            </w:pPr>
            <w:r w:rsidRPr="00C3365C">
              <w:t>indoor air pollution</w:t>
            </w:r>
          </w:p>
        </w:tc>
        <w:tc>
          <w:tcPr>
            <w:tcW w:w="1180" w:type="dxa"/>
            <w:tcBorders>
              <w:top w:val="single" w:sz="8" w:space="0" w:color="000000"/>
              <w:left w:val="single" w:sz="8" w:space="0" w:color="000000"/>
              <w:bottom w:val="single" w:sz="8" w:space="0" w:color="000000"/>
              <w:right w:val="single" w:sz="8" w:space="0" w:color="000000"/>
            </w:tcBorders>
          </w:tcPr>
          <w:p w14:paraId="7A20566A"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45A01E50" w14:textId="77777777" w:rsidR="0070589C" w:rsidRPr="00C3365C" w:rsidRDefault="0070589C" w:rsidP="00B35D9A">
            <w:pPr>
              <w:pStyle w:val="TableParagraph"/>
              <w:kinsoku w:val="0"/>
              <w:overflowPunct w:val="0"/>
              <w:spacing w:line="256" w:lineRule="auto"/>
              <w:jc w:val="both"/>
            </w:pPr>
          </w:p>
        </w:tc>
      </w:tr>
      <w:tr w:rsidR="0070589C" w:rsidRPr="00C3365C" w14:paraId="562C5FDC" w14:textId="77777777" w:rsidTr="00B35D9A">
        <w:trPr>
          <w:trHeight w:val="414"/>
        </w:trPr>
        <w:tc>
          <w:tcPr>
            <w:tcW w:w="7178" w:type="dxa"/>
            <w:tcBorders>
              <w:top w:val="single" w:sz="8" w:space="0" w:color="000000"/>
              <w:left w:val="single" w:sz="8" w:space="0" w:color="000000"/>
              <w:bottom w:val="single" w:sz="8" w:space="0" w:color="000000"/>
              <w:right w:val="single" w:sz="8" w:space="0" w:color="000000"/>
            </w:tcBorders>
            <w:hideMark/>
          </w:tcPr>
          <w:p w14:paraId="65B43D24" w14:textId="77777777" w:rsidR="0070589C" w:rsidRPr="00C3365C" w:rsidRDefault="0070589C" w:rsidP="00B35D9A">
            <w:pPr>
              <w:pStyle w:val="TableParagraph"/>
              <w:kinsoku w:val="0"/>
              <w:overflowPunct w:val="0"/>
              <w:spacing w:before="100" w:line="256" w:lineRule="auto"/>
              <w:ind w:left="110"/>
              <w:jc w:val="both"/>
            </w:pPr>
            <w:r w:rsidRPr="00C3365C">
              <w:t>radiation from x-rays</w:t>
            </w:r>
          </w:p>
        </w:tc>
        <w:tc>
          <w:tcPr>
            <w:tcW w:w="1180" w:type="dxa"/>
            <w:tcBorders>
              <w:top w:val="single" w:sz="8" w:space="0" w:color="000000"/>
              <w:left w:val="single" w:sz="8" w:space="0" w:color="000000"/>
              <w:bottom w:val="single" w:sz="8" w:space="0" w:color="000000"/>
              <w:right w:val="single" w:sz="8" w:space="0" w:color="000000"/>
            </w:tcBorders>
          </w:tcPr>
          <w:p w14:paraId="4E9A728E"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629A1AE" w14:textId="77777777" w:rsidR="0070589C" w:rsidRPr="00C3365C" w:rsidRDefault="0070589C" w:rsidP="00B35D9A">
            <w:pPr>
              <w:pStyle w:val="TableParagraph"/>
              <w:kinsoku w:val="0"/>
              <w:overflowPunct w:val="0"/>
              <w:spacing w:line="256" w:lineRule="auto"/>
              <w:jc w:val="both"/>
            </w:pPr>
          </w:p>
        </w:tc>
      </w:tr>
    </w:tbl>
    <w:p w14:paraId="7F6657FB" w14:textId="77777777" w:rsidR="0070589C" w:rsidRPr="00C3365C" w:rsidRDefault="0070589C" w:rsidP="0070589C">
      <w:pPr>
        <w:jc w:val="both"/>
        <w:sectPr w:rsidR="0070589C" w:rsidRPr="00C3365C" w:rsidSect="00B35D9A">
          <w:headerReference w:type="default" r:id="rId19"/>
          <w:pgSz w:w="12240" w:h="15840"/>
          <w:pgMar w:top="1440" w:right="1440" w:bottom="1440" w:left="1440" w:header="218" w:footer="1353" w:gutter="0"/>
          <w:cols w:space="720"/>
        </w:sectPr>
      </w:pPr>
    </w:p>
    <w:p w14:paraId="144A28F4" w14:textId="77777777" w:rsidR="0070589C" w:rsidRPr="00C3365C" w:rsidRDefault="0070589C" w:rsidP="0070589C">
      <w:pPr>
        <w:pStyle w:val="BodyText"/>
        <w:kinsoku w:val="0"/>
        <w:overflowPunct w:val="0"/>
        <w:spacing w:before="2" w:after="1"/>
        <w:jc w:val="both"/>
      </w:pPr>
    </w:p>
    <w:tbl>
      <w:tblPr>
        <w:tblW w:w="0" w:type="auto"/>
        <w:tblInd w:w="180" w:type="dxa"/>
        <w:tblLayout w:type="fixed"/>
        <w:tblCellMar>
          <w:left w:w="0" w:type="dxa"/>
          <w:right w:w="0" w:type="dxa"/>
        </w:tblCellMar>
        <w:tblLook w:val="04A0" w:firstRow="1" w:lastRow="0" w:firstColumn="1" w:lastColumn="0" w:noHBand="0" w:noVBand="1"/>
      </w:tblPr>
      <w:tblGrid>
        <w:gridCol w:w="7178"/>
        <w:gridCol w:w="1180"/>
        <w:gridCol w:w="1070"/>
      </w:tblGrid>
      <w:tr w:rsidR="0070589C" w:rsidRPr="00C3365C" w14:paraId="415B2EB6" w14:textId="77777777" w:rsidTr="00B35D9A">
        <w:trPr>
          <w:trHeight w:val="433"/>
        </w:trPr>
        <w:tc>
          <w:tcPr>
            <w:tcW w:w="7178" w:type="dxa"/>
            <w:tcBorders>
              <w:top w:val="single" w:sz="8" w:space="0" w:color="000000"/>
              <w:left w:val="single" w:sz="8" w:space="0" w:color="000000"/>
              <w:bottom w:val="single" w:sz="8" w:space="0" w:color="000000"/>
              <w:right w:val="single" w:sz="8" w:space="0" w:color="000000"/>
            </w:tcBorders>
            <w:hideMark/>
          </w:tcPr>
          <w:p w14:paraId="7C11DA59" w14:textId="77777777" w:rsidR="0070589C" w:rsidRPr="00C3365C" w:rsidRDefault="0070589C" w:rsidP="00B35D9A">
            <w:pPr>
              <w:pStyle w:val="TableParagraph"/>
              <w:kinsoku w:val="0"/>
              <w:overflowPunct w:val="0"/>
              <w:spacing w:before="100" w:line="256" w:lineRule="auto"/>
              <w:ind w:left="110"/>
              <w:jc w:val="both"/>
            </w:pPr>
            <w:bookmarkStart w:id="21" w:name="Page_65"/>
            <w:bookmarkEnd w:id="21"/>
            <w:r w:rsidRPr="00C3365C">
              <w:t>radon in homes</w:t>
            </w:r>
          </w:p>
        </w:tc>
        <w:tc>
          <w:tcPr>
            <w:tcW w:w="1180" w:type="dxa"/>
            <w:tcBorders>
              <w:top w:val="single" w:sz="8" w:space="0" w:color="000000"/>
              <w:left w:val="single" w:sz="8" w:space="0" w:color="000000"/>
              <w:bottom w:val="single" w:sz="8" w:space="0" w:color="000000"/>
              <w:right w:val="single" w:sz="8" w:space="0" w:color="000000"/>
            </w:tcBorders>
          </w:tcPr>
          <w:p w14:paraId="53F293FF"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1C248DA8" w14:textId="77777777" w:rsidR="0070589C" w:rsidRPr="00C3365C" w:rsidRDefault="0070589C" w:rsidP="00B35D9A">
            <w:pPr>
              <w:pStyle w:val="TableParagraph"/>
              <w:kinsoku w:val="0"/>
              <w:overflowPunct w:val="0"/>
              <w:spacing w:line="256" w:lineRule="auto"/>
              <w:jc w:val="both"/>
            </w:pPr>
          </w:p>
        </w:tc>
      </w:tr>
      <w:tr w:rsidR="0070589C" w:rsidRPr="00C3365C" w14:paraId="18058542" w14:textId="77777777" w:rsidTr="00B35D9A">
        <w:trPr>
          <w:trHeight w:val="414"/>
        </w:trPr>
        <w:tc>
          <w:tcPr>
            <w:tcW w:w="7178" w:type="dxa"/>
            <w:tcBorders>
              <w:top w:val="single" w:sz="8" w:space="0" w:color="000000"/>
              <w:left w:val="single" w:sz="8" w:space="0" w:color="000000"/>
              <w:bottom w:val="single" w:sz="8" w:space="0" w:color="000000"/>
              <w:right w:val="single" w:sz="8" w:space="0" w:color="000000"/>
            </w:tcBorders>
            <w:hideMark/>
          </w:tcPr>
          <w:p w14:paraId="621BDD4C" w14:textId="77777777" w:rsidR="0070589C" w:rsidRPr="00C3365C" w:rsidRDefault="0070589C" w:rsidP="00B35D9A">
            <w:pPr>
              <w:pStyle w:val="TableParagraph"/>
              <w:kinsoku w:val="0"/>
              <w:overflowPunct w:val="0"/>
              <w:spacing w:before="100" w:line="256" w:lineRule="auto"/>
              <w:ind w:left="110"/>
              <w:jc w:val="both"/>
            </w:pPr>
            <w:r w:rsidRPr="00C3365C">
              <w:t>radiation from microwave ovens</w:t>
            </w:r>
          </w:p>
        </w:tc>
        <w:tc>
          <w:tcPr>
            <w:tcW w:w="1180" w:type="dxa"/>
            <w:tcBorders>
              <w:top w:val="single" w:sz="8" w:space="0" w:color="000000"/>
              <w:left w:val="single" w:sz="8" w:space="0" w:color="000000"/>
              <w:bottom w:val="single" w:sz="8" w:space="0" w:color="000000"/>
              <w:right w:val="single" w:sz="8" w:space="0" w:color="000000"/>
            </w:tcBorders>
          </w:tcPr>
          <w:p w14:paraId="62059D00" w14:textId="77777777" w:rsidR="0070589C" w:rsidRPr="00C3365C" w:rsidRDefault="0070589C" w:rsidP="00B35D9A">
            <w:pPr>
              <w:pStyle w:val="TableParagraph"/>
              <w:kinsoku w:val="0"/>
              <w:overflowPunct w:val="0"/>
              <w:spacing w:line="256" w:lineRule="auto"/>
              <w:jc w:val="both"/>
            </w:pPr>
          </w:p>
        </w:tc>
        <w:tc>
          <w:tcPr>
            <w:tcW w:w="1070" w:type="dxa"/>
            <w:tcBorders>
              <w:top w:val="single" w:sz="8" w:space="0" w:color="000000"/>
              <w:left w:val="single" w:sz="8" w:space="0" w:color="000000"/>
              <w:bottom w:val="single" w:sz="8" w:space="0" w:color="000000"/>
              <w:right w:val="single" w:sz="8" w:space="0" w:color="000000"/>
            </w:tcBorders>
          </w:tcPr>
          <w:p w14:paraId="0C64F487" w14:textId="77777777" w:rsidR="0070589C" w:rsidRPr="00C3365C" w:rsidRDefault="0070589C" w:rsidP="00B35D9A">
            <w:pPr>
              <w:pStyle w:val="TableParagraph"/>
              <w:kinsoku w:val="0"/>
              <w:overflowPunct w:val="0"/>
              <w:spacing w:line="256" w:lineRule="auto"/>
              <w:jc w:val="both"/>
            </w:pPr>
          </w:p>
        </w:tc>
      </w:tr>
    </w:tbl>
    <w:p w14:paraId="26D600E1" w14:textId="77777777" w:rsidR="0070589C" w:rsidRPr="00C3365C" w:rsidRDefault="0070589C" w:rsidP="0070589C">
      <w:pPr>
        <w:pStyle w:val="BodyText"/>
        <w:kinsoku w:val="0"/>
        <w:overflowPunct w:val="0"/>
        <w:jc w:val="both"/>
      </w:pPr>
    </w:p>
    <w:p w14:paraId="7AEC91A6" w14:textId="77777777" w:rsidR="0070589C" w:rsidRPr="00C3365C" w:rsidRDefault="0070589C" w:rsidP="0070589C">
      <w:pPr>
        <w:pStyle w:val="BodyText"/>
        <w:kinsoku w:val="0"/>
        <w:overflowPunct w:val="0"/>
        <w:jc w:val="both"/>
      </w:pPr>
    </w:p>
    <w:p w14:paraId="609C8C4E" w14:textId="77777777" w:rsidR="0070589C" w:rsidRPr="00C3365C" w:rsidRDefault="0070589C" w:rsidP="0070589C">
      <w:pPr>
        <w:pStyle w:val="BodyText"/>
        <w:kinsoku w:val="0"/>
        <w:overflowPunct w:val="0"/>
        <w:spacing w:before="59"/>
        <w:ind w:left="160"/>
        <w:jc w:val="both"/>
      </w:pPr>
      <w:r w:rsidRPr="00C3365C">
        <w:t>RISK RANKING - ACTIVITIES</w:t>
      </w:r>
    </w:p>
    <w:tbl>
      <w:tblPr>
        <w:tblW w:w="0" w:type="auto"/>
        <w:tblInd w:w="180" w:type="dxa"/>
        <w:tblLayout w:type="fixed"/>
        <w:tblCellMar>
          <w:left w:w="0" w:type="dxa"/>
          <w:right w:w="0" w:type="dxa"/>
        </w:tblCellMar>
        <w:tblLook w:val="04A0" w:firstRow="1" w:lastRow="0" w:firstColumn="1" w:lastColumn="0" w:noHBand="0" w:noVBand="1"/>
      </w:tblPr>
      <w:tblGrid>
        <w:gridCol w:w="3151"/>
        <w:gridCol w:w="3149"/>
        <w:gridCol w:w="3130"/>
      </w:tblGrid>
      <w:tr w:rsidR="0070589C" w:rsidRPr="00C3365C" w14:paraId="3797BDF2"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70BF880A" w14:textId="77777777" w:rsidR="0070589C" w:rsidRPr="00C3365C" w:rsidRDefault="0070589C" w:rsidP="00B35D9A">
            <w:pPr>
              <w:pStyle w:val="TableParagraph"/>
              <w:kinsoku w:val="0"/>
              <w:overflowPunct w:val="0"/>
              <w:spacing w:before="100" w:line="256" w:lineRule="auto"/>
              <w:ind w:left="110"/>
              <w:jc w:val="both"/>
            </w:pPr>
            <w:r w:rsidRPr="00C3365C">
              <w:t>Uranium mill tailings</w:t>
            </w:r>
          </w:p>
        </w:tc>
        <w:tc>
          <w:tcPr>
            <w:tcW w:w="3149" w:type="dxa"/>
            <w:tcBorders>
              <w:top w:val="single" w:sz="8" w:space="0" w:color="000000"/>
              <w:left w:val="single" w:sz="8" w:space="0" w:color="000000"/>
              <w:bottom w:val="single" w:sz="8" w:space="0" w:color="000000"/>
              <w:right w:val="single" w:sz="8" w:space="0" w:color="000000"/>
            </w:tcBorders>
          </w:tcPr>
          <w:p w14:paraId="7ED2E390"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7B70F5EF" w14:textId="77777777" w:rsidR="0070589C" w:rsidRPr="00C3365C" w:rsidRDefault="0070589C" w:rsidP="00B35D9A">
            <w:pPr>
              <w:pStyle w:val="TableParagraph"/>
              <w:kinsoku w:val="0"/>
              <w:overflowPunct w:val="0"/>
              <w:spacing w:line="256" w:lineRule="auto"/>
              <w:jc w:val="both"/>
            </w:pPr>
          </w:p>
        </w:tc>
      </w:tr>
      <w:tr w:rsidR="0070589C" w:rsidRPr="00C3365C" w14:paraId="181270CD"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535ECAF3" w14:textId="77777777" w:rsidR="0070589C" w:rsidRPr="00C3365C" w:rsidRDefault="0070589C" w:rsidP="00B35D9A">
            <w:pPr>
              <w:pStyle w:val="TableParagraph"/>
              <w:kinsoku w:val="0"/>
              <w:overflowPunct w:val="0"/>
              <w:spacing w:before="100" w:line="256" w:lineRule="auto"/>
              <w:ind w:left="110"/>
              <w:jc w:val="both"/>
            </w:pPr>
            <w:r w:rsidRPr="00C3365C">
              <w:t>DES in cattle feed</w:t>
            </w:r>
          </w:p>
        </w:tc>
        <w:tc>
          <w:tcPr>
            <w:tcW w:w="3149" w:type="dxa"/>
            <w:tcBorders>
              <w:top w:val="single" w:sz="8" w:space="0" w:color="000000"/>
              <w:left w:val="single" w:sz="8" w:space="0" w:color="000000"/>
              <w:bottom w:val="single" w:sz="8" w:space="0" w:color="000000"/>
              <w:right w:val="single" w:sz="8" w:space="0" w:color="000000"/>
            </w:tcBorders>
          </w:tcPr>
          <w:p w14:paraId="769CA48A"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72614149" w14:textId="77777777" w:rsidR="0070589C" w:rsidRPr="00C3365C" w:rsidRDefault="0070589C" w:rsidP="00B35D9A">
            <w:pPr>
              <w:pStyle w:val="TableParagraph"/>
              <w:kinsoku w:val="0"/>
              <w:overflowPunct w:val="0"/>
              <w:spacing w:line="256" w:lineRule="auto"/>
              <w:jc w:val="both"/>
            </w:pPr>
          </w:p>
        </w:tc>
      </w:tr>
      <w:tr w:rsidR="0070589C" w:rsidRPr="00C3365C" w14:paraId="2EE70582"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167E35E0" w14:textId="77777777" w:rsidR="0070589C" w:rsidRPr="00C3365C" w:rsidRDefault="0070589C" w:rsidP="00B35D9A">
            <w:pPr>
              <w:pStyle w:val="TableParagraph"/>
              <w:kinsoku w:val="0"/>
              <w:overflowPunct w:val="0"/>
              <w:spacing w:before="100" w:line="256" w:lineRule="auto"/>
              <w:ind w:left="110"/>
              <w:jc w:val="both"/>
            </w:pPr>
            <w:r w:rsidRPr="00C3365C">
              <w:t>Lightning</w:t>
            </w:r>
          </w:p>
        </w:tc>
        <w:tc>
          <w:tcPr>
            <w:tcW w:w="3149" w:type="dxa"/>
            <w:tcBorders>
              <w:top w:val="single" w:sz="8" w:space="0" w:color="000000"/>
              <w:left w:val="single" w:sz="8" w:space="0" w:color="000000"/>
              <w:bottom w:val="single" w:sz="8" w:space="0" w:color="000000"/>
              <w:right w:val="single" w:sz="8" w:space="0" w:color="000000"/>
            </w:tcBorders>
          </w:tcPr>
          <w:p w14:paraId="02E59E35"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3DF303D6" w14:textId="77777777" w:rsidR="0070589C" w:rsidRPr="00C3365C" w:rsidRDefault="0070589C" w:rsidP="00B35D9A">
            <w:pPr>
              <w:pStyle w:val="TableParagraph"/>
              <w:kinsoku w:val="0"/>
              <w:overflowPunct w:val="0"/>
              <w:spacing w:line="256" w:lineRule="auto"/>
              <w:jc w:val="both"/>
            </w:pPr>
          </w:p>
        </w:tc>
      </w:tr>
      <w:tr w:rsidR="0070589C" w:rsidRPr="00C3365C" w14:paraId="691F3ADA"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6FCB11C2" w14:textId="77777777" w:rsidR="0070589C" w:rsidRPr="00C3365C" w:rsidRDefault="0070589C" w:rsidP="00B35D9A">
            <w:pPr>
              <w:pStyle w:val="TableParagraph"/>
              <w:kinsoku w:val="0"/>
              <w:overflowPunct w:val="0"/>
              <w:spacing w:before="100" w:line="256" w:lineRule="auto"/>
              <w:ind w:left="110"/>
              <w:jc w:val="both"/>
            </w:pPr>
            <w:r w:rsidRPr="00C3365C">
              <w:t>fuel systems in automobiles</w:t>
            </w:r>
          </w:p>
        </w:tc>
        <w:tc>
          <w:tcPr>
            <w:tcW w:w="3149" w:type="dxa"/>
            <w:tcBorders>
              <w:top w:val="single" w:sz="8" w:space="0" w:color="000000"/>
              <w:left w:val="single" w:sz="8" w:space="0" w:color="000000"/>
              <w:bottom w:val="single" w:sz="8" w:space="0" w:color="000000"/>
              <w:right w:val="single" w:sz="8" w:space="0" w:color="000000"/>
            </w:tcBorders>
          </w:tcPr>
          <w:p w14:paraId="5C752EE5"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1694E4EE" w14:textId="77777777" w:rsidR="0070589C" w:rsidRPr="00C3365C" w:rsidRDefault="0070589C" w:rsidP="00B35D9A">
            <w:pPr>
              <w:pStyle w:val="TableParagraph"/>
              <w:kinsoku w:val="0"/>
              <w:overflowPunct w:val="0"/>
              <w:spacing w:line="256" w:lineRule="auto"/>
              <w:jc w:val="both"/>
            </w:pPr>
          </w:p>
        </w:tc>
      </w:tr>
      <w:tr w:rsidR="0070589C" w:rsidRPr="00C3365C" w14:paraId="4AA7C08C"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6E21A678" w14:textId="77777777" w:rsidR="0070589C" w:rsidRPr="00C3365C" w:rsidRDefault="0070589C" w:rsidP="00B35D9A">
            <w:pPr>
              <w:pStyle w:val="TableParagraph"/>
              <w:kinsoku w:val="0"/>
              <w:overflowPunct w:val="0"/>
              <w:spacing w:before="100" w:line="256" w:lineRule="auto"/>
              <w:ind w:left="110"/>
              <w:jc w:val="both"/>
            </w:pPr>
            <w:r w:rsidRPr="00C3365C">
              <w:t>Saccharin</w:t>
            </w:r>
          </w:p>
        </w:tc>
        <w:tc>
          <w:tcPr>
            <w:tcW w:w="3149" w:type="dxa"/>
            <w:tcBorders>
              <w:top w:val="single" w:sz="8" w:space="0" w:color="000000"/>
              <w:left w:val="single" w:sz="8" w:space="0" w:color="000000"/>
              <w:bottom w:val="single" w:sz="8" w:space="0" w:color="000000"/>
              <w:right w:val="single" w:sz="8" w:space="0" w:color="000000"/>
            </w:tcBorders>
          </w:tcPr>
          <w:p w14:paraId="1BFC2B4E"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3415FD6B" w14:textId="77777777" w:rsidR="0070589C" w:rsidRPr="00C3365C" w:rsidRDefault="0070589C" w:rsidP="00B35D9A">
            <w:pPr>
              <w:pStyle w:val="TableParagraph"/>
              <w:kinsoku w:val="0"/>
              <w:overflowPunct w:val="0"/>
              <w:spacing w:line="256" w:lineRule="auto"/>
              <w:jc w:val="both"/>
            </w:pPr>
          </w:p>
        </w:tc>
      </w:tr>
      <w:tr w:rsidR="0070589C" w:rsidRPr="00C3365C" w14:paraId="1C6A7E4E"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20928A10" w14:textId="77777777" w:rsidR="0070589C" w:rsidRPr="00C3365C" w:rsidRDefault="0070589C" w:rsidP="00B35D9A">
            <w:pPr>
              <w:pStyle w:val="TableParagraph"/>
              <w:kinsoku w:val="0"/>
              <w:overflowPunct w:val="0"/>
              <w:spacing w:before="100" w:line="256" w:lineRule="auto"/>
              <w:ind w:left="110"/>
              <w:jc w:val="both"/>
            </w:pPr>
            <w:r w:rsidRPr="00C3365C">
              <w:t>Football</w:t>
            </w:r>
          </w:p>
        </w:tc>
        <w:tc>
          <w:tcPr>
            <w:tcW w:w="3149" w:type="dxa"/>
            <w:tcBorders>
              <w:top w:val="single" w:sz="8" w:space="0" w:color="000000"/>
              <w:left w:val="single" w:sz="8" w:space="0" w:color="000000"/>
              <w:bottom w:val="single" w:sz="8" w:space="0" w:color="000000"/>
              <w:right w:val="single" w:sz="8" w:space="0" w:color="000000"/>
            </w:tcBorders>
          </w:tcPr>
          <w:p w14:paraId="30C73B11"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6631B7F1" w14:textId="77777777" w:rsidR="0070589C" w:rsidRPr="00C3365C" w:rsidRDefault="0070589C" w:rsidP="00B35D9A">
            <w:pPr>
              <w:pStyle w:val="TableParagraph"/>
              <w:kinsoku w:val="0"/>
              <w:overflowPunct w:val="0"/>
              <w:spacing w:line="256" w:lineRule="auto"/>
              <w:jc w:val="both"/>
            </w:pPr>
          </w:p>
        </w:tc>
      </w:tr>
      <w:tr w:rsidR="0070589C" w:rsidRPr="00C3365C" w14:paraId="23A7B203"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3C7C4370" w14:textId="77777777" w:rsidR="0070589C" w:rsidRPr="00C3365C" w:rsidRDefault="0070589C" w:rsidP="00B35D9A">
            <w:pPr>
              <w:pStyle w:val="TableParagraph"/>
              <w:kinsoku w:val="0"/>
              <w:overflowPunct w:val="0"/>
              <w:spacing w:before="100" w:line="256" w:lineRule="auto"/>
              <w:ind w:left="110"/>
              <w:jc w:val="both"/>
            </w:pPr>
            <w:r w:rsidRPr="00C3365C">
              <w:t>aflatoxin (in corn)</w:t>
            </w:r>
          </w:p>
        </w:tc>
        <w:tc>
          <w:tcPr>
            <w:tcW w:w="3149" w:type="dxa"/>
            <w:tcBorders>
              <w:top w:val="single" w:sz="8" w:space="0" w:color="000000"/>
              <w:left w:val="single" w:sz="8" w:space="0" w:color="000000"/>
              <w:bottom w:val="single" w:sz="8" w:space="0" w:color="000000"/>
              <w:right w:val="single" w:sz="8" w:space="0" w:color="000000"/>
            </w:tcBorders>
          </w:tcPr>
          <w:p w14:paraId="0633F602"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127167CC" w14:textId="77777777" w:rsidR="0070589C" w:rsidRPr="00C3365C" w:rsidRDefault="0070589C" w:rsidP="00B35D9A">
            <w:pPr>
              <w:pStyle w:val="TableParagraph"/>
              <w:kinsoku w:val="0"/>
              <w:overflowPunct w:val="0"/>
              <w:spacing w:line="256" w:lineRule="auto"/>
              <w:jc w:val="both"/>
            </w:pPr>
          </w:p>
        </w:tc>
      </w:tr>
      <w:tr w:rsidR="0070589C" w:rsidRPr="00C3365C" w14:paraId="1FF7CF3F" w14:textId="77777777" w:rsidTr="00B35D9A">
        <w:trPr>
          <w:trHeight w:val="709"/>
        </w:trPr>
        <w:tc>
          <w:tcPr>
            <w:tcW w:w="3151" w:type="dxa"/>
            <w:tcBorders>
              <w:top w:val="single" w:sz="8" w:space="0" w:color="000000"/>
              <w:left w:val="single" w:sz="8" w:space="0" w:color="000000"/>
              <w:bottom w:val="single" w:sz="8" w:space="0" w:color="000000"/>
              <w:right w:val="single" w:sz="8" w:space="0" w:color="000000"/>
            </w:tcBorders>
            <w:hideMark/>
          </w:tcPr>
          <w:p w14:paraId="7364D9B4" w14:textId="77777777" w:rsidR="0070589C" w:rsidRPr="00C3365C" w:rsidRDefault="0070589C" w:rsidP="00B35D9A">
            <w:pPr>
              <w:pStyle w:val="TableParagraph"/>
              <w:kinsoku w:val="0"/>
              <w:overflowPunct w:val="0"/>
              <w:spacing w:before="100" w:line="256" w:lineRule="auto"/>
              <w:ind w:left="110"/>
              <w:jc w:val="both"/>
            </w:pPr>
            <w:r w:rsidRPr="00C3365C">
              <w:t>servicing single-place wheel rims</w:t>
            </w:r>
          </w:p>
        </w:tc>
        <w:tc>
          <w:tcPr>
            <w:tcW w:w="3149" w:type="dxa"/>
            <w:tcBorders>
              <w:top w:val="single" w:sz="8" w:space="0" w:color="000000"/>
              <w:left w:val="single" w:sz="8" w:space="0" w:color="000000"/>
              <w:bottom w:val="single" w:sz="8" w:space="0" w:color="000000"/>
              <w:right w:val="single" w:sz="8" w:space="0" w:color="000000"/>
            </w:tcBorders>
          </w:tcPr>
          <w:p w14:paraId="7F00CC91"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5CB4D262" w14:textId="77777777" w:rsidR="0070589C" w:rsidRPr="00C3365C" w:rsidRDefault="0070589C" w:rsidP="00B35D9A">
            <w:pPr>
              <w:pStyle w:val="TableParagraph"/>
              <w:kinsoku w:val="0"/>
              <w:overflowPunct w:val="0"/>
              <w:spacing w:line="256" w:lineRule="auto"/>
              <w:jc w:val="both"/>
            </w:pPr>
          </w:p>
        </w:tc>
      </w:tr>
      <w:tr w:rsidR="0070589C" w:rsidRPr="00C3365C" w14:paraId="3B2B53C1"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00D66EF8" w14:textId="77777777" w:rsidR="0070589C" w:rsidRPr="00C3365C" w:rsidRDefault="0070589C" w:rsidP="00B35D9A">
            <w:pPr>
              <w:pStyle w:val="TableParagraph"/>
              <w:kinsoku w:val="0"/>
              <w:overflowPunct w:val="0"/>
              <w:spacing w:before="100" w:line="256" w:lineRule="auto"/>
              <w:ind w:left="110"/>
              <w:jc w:val="both"/>
            </w:pPr>
            <w:r w:rsidRPr="00C3365C">
              <w:t>working with ethylene oxide</w:t>
            </w:r>
          </w:p>
        </w:tc>
        <w:tc>
          <w:tcPr>
            <w:tcW w:w="3149" w:type="dxa"/>
            <w:tcBorders>
              <w:top w:val="single" w:sz="8" w:space="0" w:color="000000"/>
              <w:left w:val="single" w:sz="8" w:space="0" w:color="000000"/>
              <w:bottom w:val="single" w:sz="8" w:space="0" w:color="000000"/>
              <w:right w:val="single" w:sz="8" w:space="0" w:color="000000"/>
            </w:tcBorders>
          </w:tcPr>
          <w:p w14:paraId="3D6BD3B8"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6CA61973" w14:textId="77777777" w:rsidR="0070589C" w:rsidRPr="00C3365C" w:rsidRDefault="0070589C" w:rsidP="00B35D9A">
            <w:pPr>
              <w:pStyle w:val="TableParagraph"/>
              <w:kinsoku w:val="0"/>
              <w:overflowPunct w:val="0"/>
              <w:spacing w:line="256" w:lineRule="auto"/>
              <w:jc w:val="both"/>
            </w:pPr>
          </w:p>
        </w:tc>
      </w:tr>
      <w:tr w:rsidR="0070589C" w:rsidRPr="00C3365C" w14:paraId="76658944"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0838DA13" w14:textId="77777777" w:rsidR="0070589C" w:rsidRPr="00C3365C" w:rsidRDefault="0070589C" w:rsidP="00B35D9A">
            <w:pPr>
              <w:pStyle w:val="TableParagraph"/>
              <w:kinsoku w:val="0"/>
              <w:overflowPunct w:val="0"/>
              <w:spacing w:before="100" w:line="256" w:lineRule="auto"/>
              <w:ind w:left="110"/>
              <w:jc w:val="both"/>
            </w:pPr>
            <w:r w:rsidRPr="00C3365C">
              <w:t>using unvented space heaters</w:t>
            </w:r>
          </w:p>
        </w:tc>
        <w:tc>
          <w:tcPr>
            <w:tcW w:w="3149" w:type="dxa"/>
            <w:tcBorders>
              <w:top w:val="single" w:sz="8" w:space="0" w:color="000000"/>
              <w:left w:val="single" w:sz="8" w:space="0" w:color="000000"/>
              <w:bottom w:val="single" w:sz="8" w:space="0" w:color="000000"/>
              <w:right w:val="single" w:sz="8" w:space="0" w:color="000000"/>
            </w:tcBorders>
          </w:tcPr>
          <w:p w14:paraId="0812BEE8"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52328001" w14:textId="77777777" w:rsidR="0070589C" w:rsidRPr="00C3365C" w:rsidRDefault="0070589C" w:rsidP="00B35D9A">
            <w:pPr>
              <w:pStyle w:val="TableParagraph"/>
              <w:kinsoku w:val="0"/>
              <w:overflowPunct w:val="0"/>
              <w:spacing w:line="256" w:lineRule="auto"/>
              <w:jc w:val="both"/>
            </w:pPr>
          </w:p>
        </w:tc>
      </w:tr>
      <w:tr w:rsidR="0070589C" w:rsidRPr="00C3365C" w14:paraId="30931AB1"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304FECEA" w14:textId="77777777" w:rsidR="0070589C" w:rsidRPr="00C3365C" w:rsidRDefault="0070589C" w:rsidP="00B35D9A">
            <w:pPr>
              <w:pStyle w:val="TableParagraph"/>
              <w:kinsoku w:val="0"/>
              <w:overflowPunct w:val="0"/>
              <w:spacing w:before="100" w:line="256" w:lineRule="auto"/>
              <w:ind w:left="110"/>
              <w:jc w:val="both"/>
            </w:pPr>
            <w:r w:rsidRPr="00C3365C">
              <w:t>Alcohol</w:t>
            </w:r>
          </w:p>
        </w:tc>
        <w:tc>
          <w:tcPr>
            <w:tcW w:w="3149" w:type="dxa"/>
            <w:tcBorders>
              <w:top w:val="single" w:sz="8" w:space="0" w:color="000000"/>
              <w:left w:val="single" w:sz="8" w:space="0" w:color="000000"/>
              <w:bottom w:val="single" w:sz="8" w:space="0" w:color="000000"/>
              <w:right w:val="single" w:sz="8" w:space="0" w:color="000000"/>
            </w:tcBorders>
          </w:tcPr>
          <w:p w14:paraId="0540A68D"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1C422506" w14:textId="77777777" w:rsidR="0070589C" w:rsidRPr="00C3365C" w:rsidRDefault="0070589C" w:rsidP="00B35D9A">
            <w:pPr>
              <w:pStyle w:val="TableParagraph"/>
              <w:kinsoku w:val="0"/>
              <w:overflowPunct w:val="0"/>
              <w:spacing w:line="256" w:lineRule="auto"/>
              <w:jc w:val="both"/>
            </w:pPr>
          </w:p>
        </w:tc>
      </w:tr>
      <w:tr w:rsidR="0070589C" w:rsidRPr="00C3365C" w14:paraId="651DA2F8"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1673C508" w14:textId="77777777" w:rsidR="0070589C" w:rsidRPr="00C3365C" w:rsidRDefault="0070589C" w:rsidP="00B35D9A">
            <w:pPr>
              <w:pStyle w:val="TableParagraph"/>
              <w:kinsoku w:val="0"/>
              <w:overflowPunct w:val="0"/>
              <w:spacing w:before="100" w:line="256" w:lineRule="auto"/>
              <w:ind w:left="110"/>
              <w:jc w:val="both"/>
            </w:pPr>
            <w:r w:rsidRPr="00C3365C">
              <w:t>work (all industries)</w:t>
            </w:r>
          </w:p>
        </w:tc>
        <w:tc>
          <w:tcPr>
            <w:tcW w:w="3149" w:type="dxa"/>
            <w:tcBorders>
              <w:top w:val="single" w:sz="8" w:space="0" w:color="000000"/>
              <w:left w:val="single" w:sz="8" w:space="0" w:color="000000"/>
              <w:bottom w:val="single" w:sz="8" w:space="0" w:color="000000"/>
              <w:right w:val="single" w:sz="8" w:space="0" w:color="000000"/>
            </w:tcBorders>
          </w:tcPr>
          <w:p w14:paraId="725A7761"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13A2BC47" w14:textId="77777777" w:rsidR="0070589C" w:rsidRPr="00C3365C" w:rsidRDefault="0070589C" w:rsidP="00B35D9A">
            <w:pPr>
              <w:pStyle w:val="TableParagraph"/>
              <w:kinsoku w:val="0"/>
              <w:overflowPunct w:val="0"/>
              <w:spacing w:line="256" w:lineRule="auto"/>
              <w:jc w:val="both"/>
            </w:pPr>
          </w:p>
        </w:tc>
      </w:tr>
      <w:tr w:rsidR="0070589C" w:rsidRPr="00C3365C" w14:paraId="02D3FF8F" w14:textId="77777777" w:rsidTr="00B35D9A">
        <w:trPr>
          <w:trHeight w:val="433"/>
        </w:trPr>
        <w:tc>
          <w:tcPr>
            <w:tcW w:w="3151" w:type="dxa"/>
            <w:tcBorders>
              <w:top w:val="single" w:sz="8" w:space="0" w:color="000000"/>
              <w:left w:val="single" w:sz="8" w:space="0" w:color="000000"/>
              <w:bottom w:val="single" w:sz="8" w:space="0" w:color="000000"/>
              <w:right w:val="single" w:sz="8" w:space="0" w:color="000000"/>
            </w:tcBorders>
            <w:hideMark/>
          </w:tcPr>
          <w:p w14:paraId="3D01E042" w14:textId="77777777" w:rsidR="0070589C" w:rsidRPr="00C3365C" w:rsidRDefault="0070589C" w:rsidP="00B35D9A">
            <w:pPr>
              <w:pStyle w:val="TableParagraph"/>
              <w:kinsoku w:val="0"/>
              <w:overflowPunct w:val="0"/>
              <w:spacing w:before="100" w:line="256" w:lineRule="auto"/>
              <w:ind w:left="110"/>
              <w:jc w:val="both"/>
            </w:pPr>
            <w:r w:rsidRPr="00C3365C">
              <w:t>motor vehicle accidents</w:t>
            </w:r>
          </w:p>
        </w:tc>
        <w:tc>
          <w:tcPr>
            <w:tcW w:w="3149" w:type="dxa"/>
            <w:tcBorders>
              <w:top w:val="single" w:sz="8" w:space="0" w:color="000000"/>
              <w:left w:val="single" w:sz="8" w:space="0" w:color="000000"/>
              <w:bottom w:val="single" w:sz="8" w:space="0" w:color="000000"/>
              <w:right w:val="single" w:sz="8" w:space="0" w:color="000000"/>
            </w:tcBorders>
          </w:tcPr>
          <w:p w14:paraId="0C05077E"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37FD1323" w14:textId="77777777" w:rsidR="0070589C" w:rsidRPr="00C3365C" w:rsidRDefault="0070589C" w:rsidP="00B35D9A">
            <w:pPr>
              <w:pStyle w:val="TableParagraph"/>
              <w:kinsoku w:val="0"/>
              <w:overflowPunct w:val="0"/>
              <w:spacing w:line="256" w:lineRule="auto"/>
              <w:jc w:val="both"/>
            </w:pPr>
          </w:p>
        </w:tc>
      </w:tr>
      <w:tr w:rsidR="0070589C" w:rsidRPr="00C3365C" w14:paraId="476C8BED" w14:textId="77777777" w:rsidTr="00B35D9A">
        <w:trPr>
          <w:trHeight w:val="414"/>
        </w:trPr>
        <w:tc>
          <w:tcPr>
            <w:tcW w:w="3151" w:type="dxa"/>
            <w:tcBorders>
              <w:top w:val="single" w:sz="8" w:space="0" w:color="000000"/>
              <w:left w:val="single" w:sz="8" w:space="0" w:color="000000"/>
              <w:bottom w:val="single" w:sz="8" w:space="0" w:color="000000"/>
              <w:right w:val="single" w:sz="8" w:space="0" w:color="000000"/>
            </w:tcBorders>
            <w:hideMark/>
          </w:tcPr>
          <w:p w14:paraId="19FFBC43" w14:textId="77777777" w:rsidR="0070589C" w:rsidRPr="00C3365C" w:rsidRDefault="0070589C" w:rsidP="00B35D9A">
            <w:pPr>
              <w:pStyle w:val="TableParagraph"/>
              <w:kinsoku w:val="0"/>
              <w:overflowPunct w:val="0"/>
              <w:spacing w:before="100" w:line="256" w:lineRule="auto"/>
              <w:ind w:left="110"/>
              <w:jc w:val="both"/>
            </w:pPr>
            <w:r w:rsidRPr="00C3365C">
              <w:t>smoking (all causes)</w:t>
            </w:r>
          </w:p>
        </w:tc>
        <w:tc>
          <w:tcPr>
            <w:tcW w:w="3149" w:type="dxa"/>
            <w:tcBorders>
              <w:top w:val="single" w:sz="8" w:space="0" w:color="000000"/>
              <w:left w:val="single" w:sz="8" w:space="0" w:color="000000"/>
              <w:bottom w:val="single" w:sz="8" w:space="0" w:color="000000"/>
              <w:right w:val="single" w:sz="8" w:space="0" w:color="000000"/>
            </w:tcBorders>
          </w:tcPr>
          <w:p w14:paraId="02E6095F" w14:textId="77777777" w:rsidR="0070589C" w:rsidRPr="00C3365C" w:rsidRDefault="0070589C" w:rsidP="00B35D9A">
            <w:pPr>
              <w:pStyle w:val="TableParagraph"/>
              <w:kinsoku w:val="0"/>
              <w:overflowPunct w:val="0"/>
              <w:spacing w:line="256" w:lineRule="auto"/>
              <w:jc w:val="both"/>
            </w:pPr>
          </w:p>
        </w:tc>
        <w:tc>
          <w:tcPr>
            <w:tcW w:w="3130" w:type="dxa"/>
            <w:tcBorders>
              <w:top w:val="single" w:sz="8" w:space="0" w:color="000000"/>
              <w:left w:val="single" w:sz="8" w:space="0" w:color="000000"/>
              <w:bottom w:val="single" w:sz="8" w:space="0" w:color="000000"/>
              <w:right w:val="single" w:sz="8" w:space="0" w:color="000000"/>
            </w:tcBorders>
          </w:tcPr>
          <w:p w14:paraId="4E024060" w14:textId="77777777" w:rsidR="0070589C" w:rsidRPr="00C3365C" w:rsidRDefault="0070589C" w:rsidP="00B35D9A">
            <w:pPr>
              <w:pStyle w:val="TableParagraph"/>
              <w:kinsoku w:val="0"/>
              <w:overflowPunct w:val="0"/>
              <w:spacing w:line="256" w:lineRule="auto"/>
              <w:jc w:val="both"/>
            </w:pPr>
          </w:p>
        </w:tc>
      </w:tr>
    </w:tbl>
    <w:p w14:paraId="2A40E6E7" w14:textId="77777777" w:rsidR="0070589C" w:rsidRPr="00C3365C" w:rsidRDefault="0070589C" w:rsidP="0070589C">
      <w:pPr>
        <w:jc w:val="both"/>
        <w:sectPr w:rsidR="0070589C" w:rsidRPr="00C3365C" w:rsidSect="00B35D9A">
          <w:headerReference w:type="default" r:id="rId20"/>
          <w:pgSz w:w="12240" w:h="15840"/>
          <w:pgMar w:top="1440" w:right="1440" w:bottom="1440" w:left="1440" w:header="218" w:footer="1353" w:gutter="0"/>
          <w:cols w:space="720"/>
        </w:sectPr>
      </w:pPr>
    </w:p>
    <w:p w14:paraId="16E703A9" w14:textId="77777777" w:rsidR="0070589C" w:rsidRPr="00C3365C" w:rsidRDefault="0070589C" w:rsidP="0070589C">
      <w:pPr>
        <w:pStyle w:val="BodyText"/>
        <w:kinsoku w:val="0"/>
        <w:overflowPunct w:val="0"/>
        <w:jc w:val="both"/>
      </w:pPr>
    </w:p>
    <w:p w14:paraId="378438C5" w14:textId="77777777" w:rsidR="0070589C" w:rsidRPr="00C3365C" w:rsidRDefault="0070589C" w:rsidP="0070589C">
      <w:pPr>
        <w:pStyle w:val="BodyText"/>
        <w:kinsoku w:val="0"/>
        <w:overflowPunct w:val="0"/>
        <w:spacing w:before="59"/>
        <w:ind w:left="160"/>
        <w:jc w:val="both"/>
      </w:pPr>
      <w:bookmarkStart w:id="22" w:name="Page_68"/>
      <w:bookmarkEnd w:id="22"/>
      <w:r w:rsidRPr="00C3365C">
        <w:t>QUALITATIVE ELEMENTS OF RISK</w:t>
      </w:r>
    </w:p>
    <w:p w14:paraId="6682B741" w14:textId="77777777" w:rsidR="0070589C" w:rsidRPr="00C3365C" w:rsidRDefault="0070589C" w:rsidP="0070589C">
      <w:pPr>
        <w:pStyle w:val="BodyText"/>
        <w:kinsoku w:val="0"/>
        <w:overflowPunct w:val="0"/>
        <w:jc w:val="both"/>
      </w:pPr>
    </w:p>
    <w:p w14:paraId="3FBD22B6" w14:textId="77777777" w:rsidR="0070589C" w:rsidRPr="00C3365C" w:rsidRDefault="0070589C" w:rsidP="0070589C">
      <w:pPr>
        <w:pStyle w:val="BodyText"/>
        <w:kinsoku w:val="0"/>
        <w:overflowPunct w:val="0"/>
        <w:spacing w:before="1"/>
        <w:jc w:val="both"/>
      </w:pPr>
    </w:p>
    <w:tbl>
      <w:tblPr>
        <w:tblW w:w="0" w:type="auto"/>
        <w:tblInd w:w="180" w:type="dxa"/>
        <w:tblLayout w:type="fixed"/>
        <w:tblCellMar>
          <w:left w:w="0" w:type="dxa"/>
          <w:right w:w="0" w:type="dxa"/>
        </w:tblCellMar>
        <w:tblLook w:val="04A0" w:firstRow="1" w:lastRow="0" w:firstColumn="1" w:lastColumn="0" w:noHBand="0" w:noVBand="1"/>
      </w:tblPr>
      <w:tblGrid>
        <w:gridCol w:w="7541"/>
        <w:gridCol w:w="910"/>
        <w:gridCol w:w="980"/>
      </w:tblGrid>
      <w:tr w:rsidR="0070589C" w:rsidRPr="00C3365C" w14:paraId="42F39A8C"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55E981BF" w14:textId="77777777" w:rsidR="0070589C" w:rsidRPr="00C3365C" w:rsidRDefault="0070589C" w:rsidP="00B35D9A">
            <w:pPr>
              <w:pStyle w:val="TableParagraph"/>
              <w:kinsoku w:val="0"/>
              <w:overflowPunct w:val="0"/>
              <w:spacing w:before="100" w:line="256" w:lineRule="auto"/>
              <w:ind w:left="110"/>
              <w:jc w:val="both"/>
            </w:pPr>
            <w:r w:rsidRPr="00C3365C">
              <w:t>Familiarity (old or new risk)</w:t>
            </w:r>
          </w:p>
        </w:tc>
        <w:tc>
          <w:tcPr>
            <w:tcW w:w="910" w:type="dxa"/>
            <w:tcBorders>
              <w:top w:val="single" w:sz="8" w:space="0" w:color="000000"/>
              <w:left w:val="single" w:sz="8" w:space="0" w:color="000000"/>
              <w:bottom w:val="single" w:sz="8" w:space="0" w:color="000000"/>
              <w:right w:val="single" w:sz="8" w:space="0" w:color="000000"/>
            </w:tcBorders>
          </w:tcPr>
          <w:p w14:paraId="7A237039"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3C9533DE" w14:textId="77777777" w:rsidR="0070589C" w:rsidRPr="00C3365C" w:rsidRDefault="0070589C" w:rsidP="00B35D9A">
            <w:pPr>
              <w:pStyle w:val="TableParagraph"/>
              <w:kinsoku w:val="0"/>
              <w:overflowPunct w:val="0"/>
              <w:spacing w:line="256" w:lineRule="auto"/>
              <w:jc w:val="both"/>
            </w:pPr>
          </w:p>
        </w:tc>
      </w:tr>
      <w:tr w:rsidR="0070589C" w:rsidRPr="00C3365C" w14:paraId="2F38E0E0"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167CD0F7" w14:textId="77777777" w:rsidR="0070589C" w:rsidRPr="00C3365C" w:rsidRDefault="0070589C" w:rsidP="00B35D9A">
            <w:pPr>
              <w:pStyle w:val="TableParagraph"/>
              <w:kinsoku w:val="0"/>
              <w:overflowPunct w:val="0"/>
              <w:spacing w:before="100" w:line="256" w:lineRule="auto"/>
              <w:ind w:left="110"/>
              <w:jc w:val="both"/>
            </w:pPr>
            <w:r w:rsidRPr="00C3365C">
              <w:t>personal control</w:t>
            </w:r>
          </w:p>
        </w:tc>
        <w:tc>
          <w:tcPr>
            <w:tcW w:w="910" w:type="dxa"/>
            <w:tcBorders>
              <w:top w:val="single" w:sz="8" w:space="0" w:color="000000"/>
              <w:left w:val="single" w:sz="8" w:space="0" w:color="000000"/>
              <w:bottom w:val="single" w:sz="8" w:space="0" w:color="000000"/>
              <w:right w:val="single" w:sz="8" w:space="0" w:color="000000"/>
            </w:tcBorders>
          </w:tcPr>
          <w:p w14:paraId="4D6960FB"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5EBA6170" w14:textId="77777777" w:rsidR="0070589C" w:rsidRPr="00C3365C" w:rsidRDefault="0070589C" w:rsidP="00B35D9A">
            <w:pPr>
              <w:pStyle w:val="TableParagraph"/>
              <w:kinsoku w:val="0"/>
              <w:overflowPunct w:val="0"/>
              <w:spacing w:line="256" w:lineRule="auto"/>
              <w:jc w:val="both"/>
            </w:pPr>
          </w:p>
        </w:tc>
      </w:tr>
      <w:tr w:rsidR="0070589C" w:rsidRPr="00C3365C" w14:paraId="6361418E"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3417CD63" w14:textId="77777777" w:rsidR="0070589C" w:rsidRPr="00C3365C" w:rsidRDefault="0070589C" w:rsidP="00B35D9A">
            <w:pPr>
              <w:pStyle w:val="TableParagraph"/>
              <w:kinsoku w:val="0"/>
              <w:overflowPunct w:val="0"/>
              <w:spacing w:before="100" w:line="256" w:lineRule="auto"/>
              <w:ind w:left="110"/>
              <w:jc w:val="both"/>
            </w:pPr>
            <w:r w:rsidRPr="00C3365C">
              <w:t>Voluntariness</w:t>
            </w:r>
          </w:p>
        </w:tc>
        <w:tc>
          <w:tcPr>
            <w:tcW w:w="910" w:type="dxa"/>
            <w:tcBorders>
              <w:top w:val="single" w:sz="8" w:space="0" w:color="000000"/>
              <w:left w:val="single" w:sz="8" w:space="0" w:color="000000"/>
              <w:bottom w:val="single" w:sz="8" w:space="0" w:color="000000"/>
              <w:right w:val="single" w:sz="8" w:space="0" w:color="000000"/>
            </w:tcBorders>
          </w:tcPr>
          <w:p w14:paraId="102F2AE8"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7C8DB4E2" w14:textId="77777777" w:rsidR="0070589C" w:rsidRPr="00C3365C" w:rsidRDefault="0070589C" w:rsidP="00B35D9A">
            <w:pPr>
              <w:pStyle w:val="TableParagraph"/>
              <w:kinsoku w:val="0"/>
              <w:overflowPunct w:val="0"/>
              <w:spacing w:line="256" w:lineRule="auto"/>
              <w:jc w:val="both"/>
            </w:pPr>
          </w:p>
        </w:tc>
      </w:tr>
      <w:tr w:rsidR="0070589C" w:rsidRPr="00C3365C" w14:paraId="662CB8E3"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251CBD61" w14:textId="77777777" w:rsidR="0070589C" w:rsidRPr="00C3365C" w:rsidRDefault="0070589C" w:rsidP="00B35D9A">
            <w:pPr>
              <w:pStyle w:val="TableParagraph"/>
              <w:kinsoku w:val="0"/>
              <w:overflowPunct w:val="0"/>
              <w:spacing w:before="100" w:line="256" w:lineRule="auto"/>
              <w:ind w:left="110"/>
              <w:jc w:val="both"/>
            </w:pPr>
            <w:r w:rsidRPr="00C3365C">
              <w:t>media attention</w:t>
            </w:r>
          </w:p>
        </w:tc>
        <w:tc>
          <w:tcPr>
            <w:tcW w:w="910" w:type="dxa"/>
            <w:tcBorders>
              <w:top w:val="single" w:sz="8" w:space="0" w:color="000000"/>
              <w:left w:val="single" w:sz="8" w:space="0" w:color="000000"/>
              <w:bottom w:val="single" w:sz="8" w:space="0" w:color="000000"/>
              <w:right w:val="single" w:sz="8" w:space="0" w:color="000000"/>
            </w:tcBorders>
          </w:tcPr>
          <w:p w14:paraId="5A99EF14"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5E75BEFC" w14:textId="77777777" w:rsidR="0070589C" w:rsidRPr="00C3365C" w:rsidRDefault="0070589C" w:rsidP="00B35D9A">
            <w:pPr>
              <w:pStyle w:val="TableParagraph"/>
              <w:kinsoku w:val="0"/>
              <w:overflowPunct w:val="0"/>
              <w:spacing w:line="256" w:lineRule="auto"/>
              <w:jc w:val="both"/>
            </w:pPr>
          </w:p>
        </w:tc>
      </w:tr>
      <w:tr w:rsidR="0070589C" w:rsidRPr="00C3365C" w14:paraId="54B3FA7F"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5CBDD985" w14:textId="77777777" w:rsidR="0070589C" w:rsidRPr="00C3365C" w:rsidRDefault="0070589C" w:rsidP="00B35D9A">
            <w:pPr>
              <w:pStyle w:val="TableParagraph"/>
              <w:kinsoku w:val="0"/>
              <w:overflowPunct w:val="0"/>
              <w:spacing w:before="100" w:line="256" w:lineRule="auto"/>
              <w:ind w:left="110"/>
              <w:jc w:val="both"/>
            </w:pPr>
            <w:r w:rsidRPr="00C3365C">
              <w:t>Equity</w:t>
            </w:r>
          </w:p>
        </w:tc>
        <w:tc>
          <w:tcPr>
            <w:tcW w:w="910" w:type="dxa"/>
            <w:tcBorders>
              <w:top w:val="single" w:sz="8" w:space="0" w:color="000000"/>
              <w:left w:val="single" w:sz="8" w:space="0" w:color="000000"/>
              <w:bottom w:val="single" w:sz="8" w:space="0" w:color="000000"/>
              <w:right w:val="single" w:sz="8" w:space="0" w:color="000000"/>
            </w:tcBorders>
          </w:tcPr>
          <w:p w14:paraId="7A4EA339"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35D8AEBB" w14:textId="77777777" w:rsidR="0070589C" w:rsidRPr="00C3365C" w:rsidRDefault="0070589C" w:rsidP="00B35D9A">
            <w:pPr>
              <w:pStyle w:val="TableParagraph"/>
              <w:kinsoku w:val="0"/>
              <w:overflowPunct w:val="0"/>
              <w:spacing w:line="256" w:lineRule="auto"/>
              <w:jc w:val="both"/>
            </w:pPr>
          </w:p>
        </w:tc>
      </w:tr>
      <w:tr w:rsidR="0070589C" w:rsidRPr="00C3365C" w14:paraId="7B2A8507"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179DCDAE" w14:textId="77777777" w:rsidR="0070589C" w:rsidRPr="00C3365C" w:rsidRDefault="0070589C" w:rsidP="00B35D9A">
            <w:pPr>
              <w:pStyle w:val="TableParagraph"/>
              <w:kinsoku w:val="0"/>
              <w:overflowPunct w:val="0"/>
              <w:spacing w:before="100" w:line="256" w:lineRule="auto"/>
              <w:ind w:left="110"/>
              <w:jc w:val="both"/>
            </w:pPr>
            <w:r w:rsidRPr="00C3365C">
              <w:t>impact on children</w:t>
            </w:r>
          </w:p>
        </w:tc>
        <w:tc>
          <w:tcPr>
            <w:tcW w:w="910" w:type="dxa"/>
            <w:tcBorders>
              <w:top w:val="single" w:sz="8" w:space="0" w:color="000000"/>
              <w:left w:val="single" w:sz="8" w:space="0" w:color="000000"/>
              <w:bottom w:val="single" w:sz="8" w:space="0" w:color="000000"/>
              <w:right w:val="single" w:sz="8" w:space="0" w:color="000000"/>
            </w:tcBorders>
          </w:tcPr>
          <w:p w14:paraId="1BE84323"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38644EA9" w14:textId="77777777" w:rsidR="0070589C" w:rsidRPr="00C3365C" w:rsidRDefault="0070589C" w:rsidP="00B35D9A">
            <w:pPr>
              <w:pStyle w:val="TableParagraph"/>
              <w:kinsoku w:val="0"/>
              <w:overflowPunct w:val="0"/>
              <w:spacing w:line="256" w:lineRule="auto"/>
              <w:jc w:val="both"/>
            </w:pPr>
          </w:p>
        </w:tc>
      </w:tr>
      <w:tr w:rsidR="0070589C" w:rsidRPr="00C3365C" w14:paraId="69F79B51"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293E635E" w14:textId="77777777" w:rsidR="0070589C" w:rsidRPr="00C3365C" w:rsidRDefault="0070589C" w:rsidP="00B35D9A">
            <w:pPr>
              <w:pStyle w:val="TableParagraph"/>
              <w:kinsoku w:val="0"/>
              <w:overflowPunct w:val="0"/>
              <w:spacing w:before="100" w:line="256" w:lineRule="auto"/>
              <w:ind w:left="110"/>
              <w:jc w:val="both"/>
            </w:pPr>
            <w:r w:rsidRPr="00C3365C">
              <w:t>impact on future generations</w:t>
            </w:r>
          </w:p>
        </w:tc>
        <w:tc>
          <w:tcPr>
            <w:tcW w:w="910" w:type="dxa"/>
            <w:tcBorders>
              <w:top w:val="single" w:sz="8" w:space="0" w:color="000000"/>
              <w:left w:val="single" w:sz="8" w:space="0" w:color="000000"/>
              <w:bottom w:val="single" w:sz="8" w:space="0" w:color="000000"/>
              <w:right w:val="single" w:sz="8" w:space="0" w:color="000000"/>
            </w:tcBorders>
          </w:tcPr>
          <w:p w14:paraId="5976D082"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3E29F061" w14:textId="77777777" w:rsidR="0070589C" w:rsidRPr="00C3365C" w:rsidRDefault="0070589C" w:rsidP="00B35D9A">
            <w:pPr>
              <w:pStyle w:val="TableParagraph"/>
              <w:kinsoku w:val="0"/>
              <w:overflowPunct w:val="0"/>
              <w:spacing w:line="256" w:lineRule="auto"/>
              <w:jc w:val="both"/>
            </w:pPr>
          </w:p>
        </w:tc>
      </w:tr>
      <w:tr w:rsidR="0070589C" w:rsidRPr="00C3365C" w14:paraId="653CF89D"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5B0E69B6" w14:textId="77777777" w:rsidR="0070589C" w:rsidRPr="00C3365C" w:rsidRDefault="0070589C" w:rsidP="00B35D9A">
            <w:pPr>
              <w:pStyle w:val="TableParagraph"/>
              <w:kinsoku w:val="0"/>
              <w:overflowPunct w:val="0"/>
              <w:spacing w:before="100" w:line="256" w:lineRule="auto"/>
              <w:ind w:left="110"/>
              <w:jc w:val="both"/>
            </w:pPr>
            <w:r w:rsidRPr="00C3365C">
              <w:t>Reversibility</w:t>
            </w:r>
          </w:p>
        </w:tc>
        <w:tc>
          <w:tcPr>
            <w:tcW w:w="910" w:type="dxa"/>
            <w:tcBorders>
              <w:top w:val="single" w:sz="8" w:space="0" w:color="000000"/>
              <w:left w:val="single" w:sz="8" w:space="0" w:color="000000"/>
              <w:bottom w:val="single" w:sz="8" w:space="0" w:color="000000"/>
              <w:right w:val="single" w:sz="8" w:space="0" w:color="000000"/>
            </w:tcBorders>
          </w:tcPr>
          <w:p w14:paraId="52FA4B8D"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6731314B" w14:textId="77777777" w:rsidR="0070589C" w:rsidRPr="00C3365C" w:rsidRDefault="0070589C" w:rsidP="00B35D9A">
            <w:pPr>
              <w:pStyle w:val="TableParagraph"/>
              <w:kinsoku w:val="0"/>
              <w:overflowPunct w:val="0"/>
              <w:spacing w:line="256" w:lineRule="auto"/>
              <w:jc w:val="both"/>
            </w:pPr>
          </w:p>
        </w:tc>
      </w:tr>
      <w:tr w:rsidR="0070589C" w:rsidRPr="00C3365C" w14:paraId="7CB8C1A2"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6F1A8E3A" w14:textId="77777777" w:rsidR="0070589C" w:rsidRPr="00C3365C" w:rsidRDefault="0070589C" w:rsidP="00B35D9A">
            <w:pPr>
              <w:pStyle w:val="TableParagraph"/>
              <w:kinsoku w:val="0"/>
              <w:overflowPunct w:val="0"/>
              <w:spacing w:before="100" w:line="256" w:lineRule="auto"/>
              <w:ind w:left="110"/>
              <w:jc w:val="both"/>
            </w:pPr>
            <w:r w:rsidRPr="00C3365C">
              <w:t>identifiability of victims</w:t>
            </w:r>
          </w:p>
        </w:tc>
        <w:tc>
          <w:tcPr>
            <w:tcW w:w="910" w:type="dxa"/>
            <w:tcBorders>
              <w:top w:val="single" w:sz="8" w:space="0" w:color="000000"/>
              <w:left w:val="single" w:sz="8" w:space="0" w:color="000000"/>
              <w:bottom w:val="single" w:sz="8" w:space="0" w:color="000000"/>
              <w:right w:val="single" w:sz="8" w:space="0" w:color="000000"/>
            </w:tcBorders>
          </w:tcPr>
          <w:p w14:paraId="68CF3630"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705EB7A9" w14:textId="77777777" w:rsidR="0070589C" w:rsidRPr="00C3365C" w:rsidRDefault="0070589C" w:rsidP="00B35D9A">
            <w:pPr>
              <w:pStyle w:val="TableParagraph"/>
              <w:kinsoku w:val="0"/>
              <w:overflowPunct w:val="0"/>
              <w:spacing w:line="256" w:lineRule="auto"/>
              <w:jc w:val="both"/>
            </w:pPr>
          </w:p>
        </w:tc>
      </w:tr>
      <w:tr w:rsidR="0070589C" w:rsidRPr="00C3365C" w14:paraId="40220811"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56E94BC7" w14:textId="77777777" w:rsidR="0070589C" w:rsidRPr="00C3365C" w:rsidRDefault="0070589C" w:rsidP="00B35D9A">
            <w:pPr>
              <w:pStyle w:val="TableParagraph"/>
              <w:kinsoku w:val="0"/>
              <w:overflowPunct w:val="0"/>
              <w:spacing w:before="100" w:line="256" w:lineRule="auto"/>
              <w:ind w:left="110"/>
              <w:jc w:val="both"/>
            </w:pPr>
            <w:r w:rsidRPr="00C3365C">
              <w:t>accompanying benefits</w:t>
            </w:r>
          </w:p>
        </w:tc>
        <w:tc>
          <w:tcPr>
            <w:tcW w:w="910" w:type="dxa"/>
            <w:tcBorders>
              <w:top w:val="single" w:sz="8" w:space="0" w:color="000000"/>
              <w:left w:val="single" w:sz="8" w:space="0" w:color="000000"/>
              <w:bottom w:val="single" w:sz="8" w:space="0" w:color="000000"/>
              <w:right w:val="single" w:sz="8" w:space="0" w:color="000000"/>
            </w:tcBorders>
          </w:tcPr>
          <w:p w14:paraId="4F0CE8BC"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3D494D2A" w14:textId="77777777" w:rsidR="0070589C" w:rsidRPr="00C3365C" w:rsidRDefault="0070589C" w:rsidP="00B35D9A">
            <w:pPr>
              <w:pStyle w:val="TableParagraph"/>
              <w:kinsoku w:val="0"/>
              <w:overflowPunct w:val="0"/>
              <w:spacing w:line="256" w:lineRule="auto"/>
              <w:jc w:val="both"/>
            </w:pPr>
          </w:p>
        </w:tc>
      </w:tr>
      <w:tr w:rsidR="0070589C" w:rsidRPr="00C3365C" w14:paraId="4136797F"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749C5CC6" w14:textId="77777777" w:rsidR="0070589C" w:rsidRPr="00C3365C" w:rsidRDefault="0070589C" w:rsidP="00B35D9A">
            <w:pPr>
              <w:pStyle w:val="TableParagraph"/>
              <w:kinsoku w:val="0"/>
              <w:overflowPunct w:val="0"/>
              <w:spacing w:before="100" w:line="256" w:lineRule="auto"/>
              <w:ind w:left="110"/>
              <w:jc w:val="both"/>
            </w:pPr>
            <w:r w:rsidRPr="00C3365C">
              <w:t>source (human generated vs. natural in origin</w:t>
            </w:r>
          </w:p>
        </w:tc>
        <w:tc>
          <w:tcPr>
            <w:tcW w:w="910" w:type="dxa"/>
            <w:tcBorders>
              <w:top w:val="single" w:sz="8" w:space="0" w:color="000000"/>
              <w:left w:val="single" w:sz="8" w:space="0" w:color="000000"/>
              <w:bottom w:val="single" w:sz="8" w:space="0" w:color="000000"/>
              <w:right w:val="single" w:sz="8" w:space="0" w:color="000000"/>
            </w:tcBorders>
          </w:tcPr>
          <w:p w14:paraId="2DA007A6"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6F523E8C" w14:textId="77777777" w:rsidR="0070589C" w:rsidRPr="00C3365C" w:rsidRDefault="0070589C" w:rsidP="00B35D9A">
            <w:pPr>
              <w:pStyle w:val="TableParagraph"/>
              <w:kinsoku w:val="0"/>
              <w:overflowPunct w:val="0"/>
              <w:spacing w:line="256" w:lineRule="auto"/>
              <w:jc w:val="both"/>
            </w:pPr>
          </w:p>
        </w:tc>
      </w:tr>
      <w:tr w:rsidR="0070589C" w:rsidRPr="00C3365C" w14:paraId="5EE4C4E5"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61DFC1B2" w14:textId="77777777" w:rsidR="0070589C" w:rsidRPr="00C3365C" w:rsidRDefault="0070589C" w:rsidP="00B35D9A">
            <w:pPr>
              <w:pStyle w:val="TableParagraph"/>
              <w:kinsoku w:val="0"/>
              <w:overflowPunct w:val="0"/>
              <w:spacing w:before="100" w:line="256" w:lineRule="auto"/>
              <w:ind w:left="110"/>
              <w:jc w:val="both"/>
            </w:pPr>
            <w:r w:rsidRPr="00C3365C">
              <w:t>trust in relevant institutions</w:t>
            </w:r>
          </w:p>
        </w:tc>
        <w:tc>
          <w:tcPr>
            <w:tcW w:w="910" w:type="dxa"/>
            <w:tcBorders>
              <w:top w:val="single" w:sz="8" w:space="0" w:color="000000"/>
              <w:left w:val="single" w:sz="8" w:space="0" w:color="000000"/>
              <w:bottom w:val="single" w:sz="8" w:space="0" w:color="000000"/>
              <w:right w:val="single" w:sz="8" w:space="0" w:color="000000"/>
            </w:tcBorders>
          </w:tcPr>
          <w:p w14:paraId="6016AB38"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60B37036" w14:textId="77777777" w:rsidR="0070589C" w:rsidRPr="00C3365C" w:rsidRDefault="0070589C" w:rsidP="00B35D9A">
            <w:pPr>
              <w:pStyle w:val="TableParagraph"/>
              <w:kinsoku w:val="0"/>
              <w:overflowPunct w:val="0"/>
              <w:spacing w:line="256" w:lineRule="auto"/>
              <w:jc w:val="both"/>
            </w:pPr>
          </w:p>
        </w:tc>
      </w:tr>
      <w:tr w:rsidR="0070589C" w:rsidRPr="00C3365C" w14:paraId="36401FC1"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09627A02" w14:textId="77777777" w:rsidR="0070589C" w:rsidRPr="00C3365C" w:rsidRDefault="0070589C" w:rsidP="00B35D9A">
            <w:pPr>
              <w:pStyle w:val="TableParagraph"/>
              <w:kinsoku w:val="0"/>
              <w:overflowPunct w:val="0"/>
              <w:spacing w:before="100" w:line="256" w:lineRule="auto"/>
              <w:ind w:left="110"/>
              <w:jc w:val="both"/>
            </w:pPr>
            <w:r w:rsidRPr="00C3365C">
              <w:t>immediacy of adverse effects</w:t>
            </w:r>
          </w:p>
        </w:tc>
        <w:tc>
          <w:tcPr>
            <w:tcW w:w="910" w:type="dxa"/>
            <w:tcBorders>
              <w:top w:val="single" w:sz="8" w:space="0" w:color="000000"/>
              <w:left w:val="single" w:sz="8" w:space="0" w:color="000000"/>
              <w:bottom w:val="single" w:sz="8" w:space="0" w:color="000000"/>
              <w:right w:val="single" w:sz="8" w:space="0" w:color="000000"/>
            </w:tcBorders>
          </w:tcPr>
          <w:p w14:paraId="21EF5906"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7636FACA" w14:textId="77777777" w:rsidR="0070589C" w:rsidRPr="00C3365C" w:rsidRDefault="0070589C" w:rsidP="00B35D9A">
            <w:pPr>
              <w:pStyle w:val="TableParagraph"/>
              <w:kinsoku w:val="0"/>
              <w:overflowPunct w:val="0"/>
              <w:spacing w:line="256" w:lineRule="auto"/>
              <w:jc w:val="both"/>
            </w:pPr>
          </w:p>
        </w:tc>
      </w:tr>
      <w:tr w:rsidR="0070589C" w:rsidRPr="00C3365C" w14:paraId="54609D61" w14:textId="77777777" w:rsidTr="00B35D9A">
        <w:trPr>
          <w:trHeight w:val="433"/>
        </w:trPr>
        <w:tc>
          <w:tcPr>
            <w:tcW w:w="7541" w:type="dxa"/>
            <w:tcBorders>
              <w:top w:val="single" w:sz="8" w:space="0" w:color="000000"/>
              <w:left w:val="single" w:sz="8" w:space="0" w:color="000000"/>
              <w:bottom w:val="single" w:sz="8" w:space="0" w:color="000000"/>
              <w:right w:val="single" w:sz="8" w:space="0" w:color="000000"/>
            </w:tcBorders>
            <w:hideMark/>
          </w:tcPr>
          <w:p w14:paraId="550EF911" w14:textId="77777777" w:rsidR="0070589C" w:rsidRPr="00C3365C" w:rsidRDefault="0070589C" w:rsidP="00B35D9A">
            <w:pPr>
              <w:pStyle w:val="TableParagraph"/>
              <w:kinsoku w:val="0"/>
              <w:overflowPunct w:val="0"/>
              <w:spacing w:before="100" w:line="256" w:lineRule="auto"/>
              <w:ind w:left="110"/>
              <w:jc w:val="both"/>
            </w:pPr>
            <w:r w:rsidRPr="00C3365C">
              <w:t>understanding of mechanism</w:t>
            </w:r>
          </w:p>
        </w:tc>
        <w:tc>
          <w:tcPr>
            <w:tcW w:w="910" w:type="dxa"/>
            <w:tcBorders>
              <w:top w:val="single" w:sz="8" w:space="0" w:color="000000"/>
              <w:left w:val="single" w:sz="8" w:space="0" w:color="000000"/>
              <w:bottom w:val="single" w:sz="8" w:space="0" w:color="000000"/>
              <w:right w:val="single" w:sz="8" w:space="0" w:color="000000"/>
            </w:tcBorders>
          </w:tcPr>
          <w:p w14:paraId="3A75E5BB"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57FB07A1" w14:textId="77777777" w:rsidR="0070589C" w:rsidRPr="00C3365C" w:rsidRDefault="0070589C" w:rsidP="00B35D9A">
            <w:pPr>
              <w:pStyle w:val="TableParagraph"/>
              <w:kinsoku w:val="0"/>
              <w:overflowPunct w:val="0"/>
              <w:spacing w:line="256" w:lineRule="auto"/>
              <w:jc w:val="both"/>
            </w:pPr>
          </w:p>
        </w:tc>
      </w:tr>
      <w:tr w:rsidR="0070589C" w:rsidRPr="00C3365C" w14:paraId="5CF401B9" w14:textId="77777777" w:rsidTr="00B35D9A">
        <w:trPr>
          <w:trHeight w:val="414"/>
        </w:trPr>
        <w:tc>
          <w:tcPr>
            <w:tcW w:w="7541" w:type="dxa"/>
            <w:tcBorders>
              <w:top w:val="single" w:sz="8" w:space="0" w:color="000000"/>
              <w:left w:val="single" w:sz="8" w:space="0" w:color="000000"/>
              <w:bottom w:val="single" w:sz="8" w:space="0" w:color="000000"/>
              <w:right w:val="single" w:sz="8" w:space="0" w:color="000000"/>
            </w:tcBorders>
            <w:hideMark/>
          </w:tcPr>
          <w:p w14:paraId="19826FAD" w14:textId="77777777" w:rsidR="0070589C" w:rsidRPr="00C3365C" w:rsidRDefault="0070589C" w:rsidP="00B35D9A">
            <w:pPr>
              <w:pStyle w:val="TableParagraph"/>
              <w:kinsoku w:val="0"/>
              <w:overflowPunct w:val="0"/>
              <w:spacing w:before="100" w:line="256" w:lineRule="auto"/>
              <w:ind w:left="110"/>
              <w:jc w:val="both"/>
            </w:pPr>
            <w:r w:rsidRPr="00C3365C">
              <w:t>precedents (history of accidents)</w:t>
            </w:r>
          </w:p>
        </w:tc>
        <w:tc>
          <w:tcPr>
            <w:tcW w:w="910" w:type="dxa"/>
            <w:tcBorders>
              <w:top w:val="single" w:sz="8" w:space="0" w:color="000000"/>
              <w:left w:val="single" w:sz="8" w:space="0" w:color="000000"/>
              <w:bottom w:val="single" w:sz="8" w:space="0" w:color="000000"/>
              <w:right w:val="single" w:sz="8" w:space="0" w:color="000000"/>
            </w:tcBorders>
          </w:tcPr>
          <w:p w14:paraId="3C0306BB" w14:textId="77777777" w:rsidR="0070589C" w:rsidRPr="00C3365C" w:rsidRDefault="0070589C" w:rsidP="00B35D9A">
            <w:pPr>
              <w:pStyle w:val="TableParagraph"/>
              <w:kinsoku w:val="0"/>
              <w:overflowPunct w:val="0"/>
              <w:spacing w:line="256" w:lineRule="auto"/>
              <w:jc w:val="both"/>
            </w:pPr>
          </w:p>
        </w:tc>
        <w:tc>
          <w:tcPr>
            <w:tcW w:w="980" w:type="dxa"/>
            <w:tcBorders>
              <w:top w:val="single" w:sz="8" w:space="0" w:color="000000"/>
              <w:left w:val="single" w:sz="8" w:space="0" w:color="000000"/>
              <w:bottom w:val="single" w:sz="8" w:space="0" w:color="000000"/>
              <w:right w:val="single" w:sz="8" w:space="0" w:color="000000"/>
            </w:tcBorders>
          </w:tcPr>
          <w:p w14:paraId="5B260754" w14:textId="77777777" w:rsidR="0070589C" w:rsidRPr="00C3365C" w:rsidRDefault="0070589C" w:rsidP="00B35D9A">
            <w:pPr>
              <w:pStyle w:val="TableParagraph"/>
              <w:kinsoku w:val="0"/>
              <w:overflowPunct w:val="0"/>
              <w:spacing w:line="256" w:lineRule="auto"/>
              <w:jc w:val="both"/>
            </w:pPr>
          </w:p>
        </w:tc>
      </w:tr>
    </w:tbl>
    <w:p w14:paraId="17F2F8BE" w14:textId="77777777" w:rsidR="0070589C" w:rsidRPr="00C3365C" w:rsidRDefault="0070589C" w:rsidP="0070589C">
      <w:pPr>
        <w:jc w:val="both"/>
      </w:pPr>
    </w:p>
    <w:p w14:paraId="5F3D3F07" w14:textId="77777777" w:rsidR="0070589C" w:rsidRDefault="0070589C" w:rsidP="0070589C">
      <w:pPr>
        <w:widowControl/>
        <w:autoSpaceDE/>
        <w:autoSpaceDN/>
        <w:adjustRightInd/>
        <w:spacing w:after="160" w:line="259" w:lineRule="auto"/>
        <w:rPr>
          <w:sz w:val="24"/>
          <w:szCs w:val="24"/>
        </w:rPr>
      </w:pPr>
      <w:r>
        <w:br w:type="page"/>
      </w:r>
    </w:p>
    <w:p w14:paraId="4BA7DD9D" w14:textId="77777777" w:rsidR="0070589C" w:rsidRPr="00733FF8" w:rsidRDefault="0070589C" w:rsidP="0070589C">
      <w:pPr>
        <w:pStyle w:val="Heading1"/>
        <w:kinsoku w:val="0"/>
        <w:overflowPunct w:val="0"/>
        <w:spacing w:before="58"/>
        <w:ind w:left="0"/>
        <w:rPr>
          <w:sz w:val="32"/>
          <w:szCs w:val="32"/>
        </w:rPr>
      </w:pPr>
      <w:r>
        <w:rPr>
          <w:sz w:val="32"/>
          <w:szCs w:val="32"/>
        </w:rPr>
        <w:lastRenderedPageBreak/>
        <w:t>Chapter 4</w:t>
      </w:r>
    </w:p>
    <w:p w14:paraId="01EDA35C" w14:textId="77777777" w:rsidR="0070589C" w:rsidRPr="00733FF8" w:rsidRDefault="0070589C" w:rsidP="0070589C">
      <w:pPr>
        <w:rPr>
          <w:b/>
          <w:sz w:val="32"/>
          <w:szCs w:val="32"/>
        </w:rPr>
      </w:pPr>
    </w:p>
    <w:p w14:paraId="14A0B34D" w14:textId="77777777" w:rsidR="0070589C" w:rsidRPr="00733FF8" w:rsidRDefault="0070589C" w:rsidP="0070589C">
      <w:pPr>
        <w:rPr>
          <w:b/>
          <w:sz w:val="32"/>
          <w:szCs w:val="32"/>
        </w:rPr>
      </w:pPr>
      <w:r>
        <w:rPr>
          <w:b/>
          <w:sz w:val="32"/>
          <w:szCs w:val="32"/>
        </w:rPr>
        <w:t>Constitutional and Civil Rights Claims</w:t>
      </w:r>
    </w:p>
    <w:p w14:paraId="740B5143" w14:textId="77777777" w:rsidR="0070589C" w:rsidRDefault="0070589C" w:rsidP="0070589C">
      <w:pPr>
        <w:pStyle w:val="BodyText"/>
        <w:kinsoku w:val="0"/>
        <w:overflowPunct w:val="0"/>
        <w:rPr>
          <w:b/>
          <w:bCs/>
        </w:rPr>
      </w:pPr>
    </w:p>
    <w:p w14:paraId="71396256" w14:textId="77777777" w:rsidR="0070589C" w:rsidRDefault="0070589C" w:rsidP="0070589C">
      <w:pPr>
        <w:pStyle w:val="BodyText"/>
        <w:kinsoku w:val="0"/>
        <w:overflowPunct w:val="0"/>
        <w:ind w:right="540"/>
        <w:jc w:val="both"/>
      </w:pPr>
      <w:r>
        <w:rPr>
          <w:b/>
        </w:rPr>
        <w:tab/>
      </w:r>
      <w:r>
        <w:t xml:space="preserve">After the first three chapters have established some of the nature and causes of environmental injustice, Chapter 4 begins to explore possible legal solutions.  In many ways, students may find Chapter 4 as the most challenging chapter in the book.  For one thing, it is the longest chapter in the book.  Instructors could shorten a reading assignment by omitting the case study on Flint litigation that concludes this chapter.  However, this case is also one of the few published court decisions with a clear victory for EJ advocates under either the U.S. Constitution or civil rights legislation.  That is another reason this chapter may be so challenging:  given the high standards of proof established by the U.S.  Supreme Court, attempts to address environmental injustice through either Constitutional or civil rights claims have largely ended in frustration.  Compounding this frustration, the U.S. EPA has been notoriously unresponsive to administrative complaints filed under Civil Rights Act Title VI.  </w:t>
      </w:r>
    </w:p>
    <w:p w14:paraId="417E65C4" w14:textId="77777777" w:rsidR="0070589C" w:rsidRDefault="0070589C" w:rsidP="0070589C">
      <w:pPr>
        <w:pStyle w:val="BodyText"/>
        <w:kinsoku w:val="0"/>
        <w:overflowPunct w:val="0"/>
        <w:ind w:right="897"/>
        <w:jc w:val="both"/>
      </w:pPr>
    </w:p>
    <w:p w14:paraId="2912F908" w14:textId="77777777" w:rsidR="0070589C" w:rsidRDefault="0070589C" w:rsidP="0070589C">
      <w:pPr>
        <w:pStyle w:val="BodyText"/>
        <w:kinsoku w:val="0"/>
        <w:overflowPunct w:val="0"/>
        <w:ind w:right="540" w:firstLine="720"/>
        <w:jc w:val="both"/>
      </w:pPr>
      <w:r>
        <w:t>To keep students from sinking into despair, Chapter 4 does indicate how EJ advocates have recently found some success in using Title VI to leverage settlements that allow incremental progress toward addressing environmental justice concerns.  Chapter 4 also sets up the need for seeking remedies beyond the U.S. Constitution and civil rights legislation, to include the statutory authorities explored in Chapters 5-8.</w:t>
      </w:r>
    </w:p>
    <w:p w14:paraId="57E85FCD" w14:textId="77777777" w:rsidR="0070589C" w:rsidRDefault="0070589C" w:rsidP="0070589C">
      <w:pPr>
        <w:pStyle w:val="BodyText"/>
        <w:kinsoku w:val="0"/>
        <w:overflowPunct w:val="0"/>
        <w:ind w:right="897"/>
        <w:jc w:val="both"/>
      </w:pPr>
    </w:p>
    <w:p w14:paraId="08B028A6" w14:textId="77777777" w:rsidR="0070589C" w:rsidRPr="0028440F" w:rsidRDefault="0070589C" w:rsidP="0070589C">
      <w:pPr>
        <w:pStyle w:val="BodyText"/>
        <w:kinsoku w:val="0"/>
        <w:overflowPunct w:val="0"/>
        <w:ind w:right="897"/>
        <w:rPr>
          <w:b/>
        </w:rPr>
      </w:pPr>
      <w:r>
        <w:tab/>
      </w:r>
      <w:r w:rsidRPr="0028440F">
        <w:rPr>
          <w:b/>
        </w:rPr>
        <w:t>A.  Introduction</w:t>
      </w:r>
    </w:p>
    <w:p w14:paraId="69140E5E" w14:textId="77777777" w:rsidR="0070589C" w:rsidRDefault="0070589C" w:rsidP="0070589C">
      <w:pPr>
        <w:pStyle w:val="BodyText"/>
        <w:kinsoku w:val="0"/>
        <w:overflowPunct w:val="0"/>
        <w:ind w:right="897" w:firstLine="720"/>
      </w:pPr>
    </w:p>
    <w:p w14:paraId="4178107A" w14:textId="77777777" w:rsidR="0070589C" w:rsidRDefault="0070589C" w:rsidP="0070589C">
      <w:pPr>
        <w:pStyle w:val="BodyText"/>
        <w:kinsoku w:val="0"/>
        <w:overflowPunct w:val="0"/>
        <w:ind w:right="540" w:firstLine="720"/>
        <w:jc w:val="both"/>
      </w:pPr>
      <w:r w:rsidRPr="0028440F">
        <w:t xml:space="preserve">The introduction is mostly self-explanatory.  The </w:t>
      </w:r>
      <w:r w:rsidRPr="0028440F">
        <w:rPr>
          <w:i/>
        </w:rPr>
        <w:t>Pathfinder</w:t>
      </w:r>
      <w:r w:rsidRPr="0028440F">
        <w:t xml:space="preserve"> included here demonstrates the voluminous scholarship that has been gen</w:t>
      </w:r>
      <w:r>
        <w:t>erated by the concept of using c</w:t>
      </w:r>
      <w:r w:rsidRPr="0028440F">
        <w:t xml:space="preserve">onstitutional or civil rights authorities to address concerns for environmental injustice.  For instructors, if this abridged list appears intimidating, the most timely and useful background may be found in the 2019 article by Marianne Engelman Lado cited on page 119 and excerpted in Part B.  Ms. Engelman Lado, who currently teaches at both Yale and Vermont, is also one of the most successful Title VI practitioners, and her perspectives presented in the 2019 article may be valuable to any instructors who seek more expertise </w:t>
      </w:r>
      <w:r>
        <w:t>in this area of legal practice.</w:t>
      </w:r>
    </w:p>
    <w:p w14:paraId="361CFA7A" w14:textId="77777777" w:rsidR="0070589C" w:rsidRDefault="0070589C" w:rsidP="0070589C">
      <w:pPr>
        <w:pStyle w:val="BodyText"/>
        <w:kinsoku w:val="0"/>
        <w:overflowPunct w:val="0"/>
        <w:ind w:right="897" w:firstLine="720"/>
        <w:rPr>
          <w:b/>
        </w:rPr>
      </w:pPr>
    </w:p>
    <w:p w14:paraId="10C1F237" w14:textId="77777777" w:rsidR="0070589C" w:rsidRDefault="0070589C" w:rsidP="0070589C">
      <w:pPr>
        <w:pStyle w:val="BodyText"/>
        <w:kinsoku w:val="0"/>
        <w:overflowPunct w:val="0"/>
        <w:ind w:right="897" w:firstLine="720"/>
        <w:rPr>
          <w:b/>
        </w:rPr>
      </w:pPr>
      <w:r>
        <w:rPr>
          <w:b/>
        </w:rPr>
        <w:t xml:space="preserve">B.  </w:t>
      </w:r>
      <w:r w:rsidRPr="0028440F">
        <w:rPr>
          <w:b/>
        </w:rPr>
        <w:t>Constitutional and Civil Rights Claims for Environmental Injustice</w:t>
      </w:r>
    </w:p>
    <w:p w14:paraId="7B75DDED" w14:textId="77777777" w:rsidR="0070589C" w:rsidRDefault="0070589C" w:rsidP="0070589C">
      <w:pPr>
        <w:pStyle w:val="BodyText"/>
        <w:kinsoku w:val="0"/>
        <w:overflowPunct w:val="0"/>
        <w:ind w:right="897" w:firstLine="720"/>
        <w:rPr>
          <w:b/>
        </w:rPr>
      </w:pPr>
    </w:p>
    <w:p w14:paraId="73CFC4E8" w14:textId="77777777" w:rsidR="0070589C" w:rsidRDefault="0070589C" w:rsidP="0070589C">
      <w:pPr>
        <w:pStyle w:val="BodyText"/>
        <w:kinsoku w:val="0"/>
        <w:overflowPunct w:val="0"/>
        <w:ind w:right="540"/>
        <w:jc w:val="center"/>
      </w:pPr>
      <w:r>
        <w:t xml:space="preserve">Marianne Engelman Lado, </w:t>
      </w:r>
      <w:r w:rsidRPr="0028440F">
        <w:rPr>
          <w:i/>
        </w:rPr>
        <w:t>No More Excuses:  Building a New Vision of Civil Rights Enforcement in the Context of Environmental Justice</w:t>
      </w:r>
      <w:r>
        <w:t xml:space="preserve"> (2019)</w:t>
      </w:r>
    </w:p>
    <w:p w14:paraId="04C1E335" w14:textId="77777777" w:rsidR="0070589C" w:rsidRDefault="0070589C" w:rsidP="0070589C">
      <w:pPr>
        <w:pStyle w:val="BodyText"/>
        <w:kinsoku w:val="0"/>
        <w:overflowPunct w:val="0"/>
        <w:ind w:right="897"/>
      </w:pPr>
    </w:p>
    <w:p w14:paraId="1D362386" w14:textId="77777777" w:rsidR="0070589C" w:rsidRDefault="0070589C" w:rsidP="0070589C">
      <w:pPr>
        <w:pStyle w:val="BodyText"/>
        <w:kinsoku w:val="0"/>
        <w:overflowPunct w:val="0"/>
        <w:ind w:right="540" w:firstLine="720"/>
        <w:jc w:val="both"/>
      </w:pPr>
      <w:r>
        <w:t xml:space="preserve">The primary purpose of this excerpt is to show why EJ advocates should still consider pursuing claims under constitutional and civil rights authorities when the historic rate of success has been so dismal.  A short answer from this excerpt is, sometimes, claims under the Constitution or civil rights legislation are all you have available, particularly given many barriers and loopholes under statutory frameworks.  </w:t>
      </w:r>
    </w:p>
    <w:p w14:paraId="40FD9928" w14:textId="77777777" w:rsidR="0070589C" w:rsidRPr="00FD2E30" w:rsidRDefault="0070589C" w:rsidP="0070589C">
      <w:pPr>
        <w:pStyle w:val="BodyText"/>
        <w:kinsoku w:val="0"/>
        <w:overflowPunct w:val="0"/>
        <w:ind w:right="897"/>
        <w:jc w:val="center"/>
        <w:rPr>
          <w:b/>
          <w:i/>
          <w:sz w:val="28"/>
          <w:szCs w:val="28"/>
        </w:rPr>
      </w:pPr>
      <w:r w:rsidRPr="00FD2E30">
        <w:rPr>
          <w:b/>
          <w:i/>
          <w:sz w:val="28"/>
          <w:szCs w:val="28"/>
        </w:rPr>
        <w:lastRenderedPageBreak/>
        <w:t>Notes and Questions</w:t>
      </w:r>
    </w:p>
    <w:p w14:paraId="5BE96653" w14:textId="77777777" w:rsidR="0070589C" w:rsidRDefault="0070589C" w:rsidP="0070589C">
      <w:pPr>
        <w:pStyle w:val="BodyText"/>
        <w:kinsoku w:val="0"/>
        <w:overflowPunct w:val="0"/>
        <w:ind w:right="897"/>
      </w:pPr>
    </w:p>
    <w:p w14:paraId="24077358" w14:textId="77777777" w:rsidR="0070589C" w:rsidRDefault="0070589C" w:rsidP="0070589C">
      <w:pPr>
        <w:pStyle w:val="BodyText"/>
        <w:kinsoku w:val="0"/>
        <w:overflowPunct w:val="0"/>
        <w:ind w:right="540" w:firstLine="720"/>
        <w:jc w:val="both"/>
      </w:pPr>
      <w:r w:rsidRPr="00FD2E30">
        <w:rPr>
          <w:b/>
        </w:rPr>
        <w:t>1.  Environmental compliance vs. environmental protection.</w:t>
      </w:r>
      <w:r>
        <w:t xml:space="preserve">  The note here is self-explanatory, but emphasizes an important point that will be demonstrated throughout the book:  environmental compliance is not the same thing as environmental protection (or environmental justice, for that matter).  For example, a large city may comply with all applicable air quality standards, but within that city, a neighborhood located next door to a major industrial complex may have severely polluted and unhealthy air.</w:t>
      </w:r>
    </w:p>
    <w:p w14:paraId="4CE0ADBE" w14:textId="77777777" w:rsidR="0070589C" w:rsidRDefault="0070589C" w:rsidP="0070589C">
      <w:pPr>
        <w:pStyle w:val="BodyText"/>
        <w:kinsoku w:val="0"/>
        <w:overflowPunct w:val="0"/>
        <w:ind w:right="897" w:firstLine="720"/>
        <w:jc w:val="both"/>
      </w:pPr>
    </w:p>
    <w:p w14:paraId="62762365" w14:textId="77777777" w:rsidR="0070589C" w:rsidRDefault="0070589C" w:rsidP="0070589C">
      <w:pPr>
        <w:pStyle w:val="BodyText"/>
        <w:kinsoku w:val="0"/>
        <w:overflowPunct w:val="0"/>
        <w:ind w:right="540"/>
        <w:jc w:val="both"/>
      </w:pPr>
      <w:r>
        <w:tab/>
      </w:r>
      <w:r w:rsidRPr="00451355">
        <w:rPr>
          <w:b/>
        </w:rPr>
        <w:t>2.  Filling the regulatory gaps.</w:t>
      </w:r>
      <w:r>
        <w:t xml:space="preserve">  The note here hints at another reason why constitutional and civil rights claims may still be useful or even preferable means for pursuing environmental justice.   For better or worse, federal lawmaking by Congress to address environmental problems effectively ended with the Clean Air Act Amendments of 1990, fully 30 years ago.  At the same time, federal rulemaking to implement existing statutes has become increasingly more difficult.  For example, since the Supreme Court’s decision in </w:t>
      </w:r>
      <w:r w:rsidRPr="00676A70">
        <w:rPr>
          <w:i/>
        </w:rPr>
        <w:t>Rapanos v. U.S</w:t>
      </w:r>
      <w:r>
        <w:t xml:space="preserve">. (2006), when justices in both the majority and dissent recognized the need for rulemaking to clarify the meaning of “waters of the United States” under the Clean Water Act, there have been rulemaking proposals by both the Obama and Trump administrations.  Proposals by each administration have been vigorously challenged in multiple courts across the country, often resulting in conflicting decisions.  In a much shorter time span, by contrast, the constitutional right to same-sex marriage was confirmed by a single decision of the U.S. Supreme Court, </w:t>
      </w:r>
      <w:r w:rsidRPr="00676A70">
        <w:rPr>
          <w:i/>
        </w:rPr>
        <w:t>Obergefell v. Hodges</w:t>
      </w:r>
      <w:r>
        <w:t xml:space="preserve"> (2014).  While such advancements in constitutional rights are relatively rare in U.S. history, they do happen and may always be worth considering – particularly in an age (going on 30 years now) of legislative and regulatory stalemate or retrenchment.</w:t>
      </w:r>
    </w:p>
    <w:p w14:paraId="6938BD92" w14:textId="77777777" w:rsidR="0070589C" w:rsidRDefault="0070589C" w:rsidP="0070589C">
      <w:pPr>
        <w:pStyle w:val="BodyText"/>
        <w:kinsoku w:val="0"/>
        <w:overflowPunct w:val="0"/>
        <w:ind w:right="897"/>
        <w:jc w:val="both"/>
      </w:pPr>
    </w:p>
    <w:p w14:paraId="40CD68C0" w14:textId="77777777" w:rsidR="0070589C" w:rsidRPr="00676A70" w:rsidRDefault="0070589C" w:rsidP="0070589C">
      <w:pPr>
        <w:pStyle w:val="BodyText"/>
        <w:kinsoku w:val="0"/>
        <w:overflowPunct w:val="0"/>
        <w:ind w:right="897" w:firstLine="720"/>
        <w:jc w:val="both"/>
        <w:rPr>
          <w:b/>
        </w:rPr>
      </w:pPr>
      <w:r w:rsidRPr="00676A70">
        <w:rPr>
          <w:b/>
        </w:rPr>
        <w:t>C.  Equal Protection Claims</w:t>
      </w:r>
    </w:p>
    <w:p w14:paraId="23385802" w14:textId="77777777" w:rsidR="0070589C" w:rsidRDefault="0070589C" w:rsidP="0070589C">
      <w:pPr>
        <w:pStyle w:val="BodyText"/>
        <w:kinsoku w:val="0"/>
        <w:overflowPunct w:val="0"/>
        <w:ind w:right="897"/>
        <w:jc w:val="both"/>
      </w:pPr>
    </w:p>
    <w:p w14:paraId="4394F86D" w14:textId="77777777" w:rsidR="0070589C" w:rsidRDefault="0070589C" w:rsidP="0070589C">
      <w:pPr>
        <w:pStyle w:val="BodyText"/>
        <w:kinsoku w:val="0"/>
        <w:overflowPunct w:val="0"/>
        <w:ind w:right="540"/>
        <w:jc w:val="both"/>
      </w:pPr>
      <w:r>
        <w:t xml:space="preserve"> </w:t>
      </w:r>
      <w:r>
        <w:tab/>
        <w:t>This section sets out the general law concerning claims brought directly under the Equal Protection Clause of the 14</w:t>
      </w:r>
      <w:r w:rsidRPr="00F927A7">
        <w:rPr>
          <w:vertAlign w:val="superscript"/>
        </w:rPr>
        <w:t>th</w:t>
      </w:r>
      <w:r>
        <w:t xml:space="preserve"> Amendment to the U.S. Constitution.  Equal Protection may seem the most obvious authority for ensuring the equal protection of racial minorities and other discrete groups experiencing the disparate effects of environmental injustice.  But as the cases and commentary here demonstrate, successes under Equal Protection are very rare.  </w:t>
      </w:r>
      <w:r w:rsidRPr="00F74918">
        <w:rPr>
          <w:i/>
        </w:rPr>
        <w:t>Dowell v. City of Apopka</w:t>
      </w:r>
      <w:r>
        <w:t xml:space="preserve"> (11</w:t>
      </w:r>
      <w:r w:rsidRPr="00F927A7">
        <w:rPr>
          <w:vertAlign w:val="superscript"/>
        </w:rPr>
        <w:t>th</w:t>
      </w:r>
      <w:r>
        <w:t xml:space="preserve"> Cir. 1983) is one famous exception, providing the plaintiffs with a rare judicial victory, one based heavily on “the totality of the relevant facts” demonstrating clear failures of the City to provide services to the black residents.  (Be sure to consider the facts presented in note 3 from the opinion.)</w:t>
      </w:r>
    </w:p>
    <w:p w14:paraId="450B542D" w14:textId="77777777" w:rsidR="0070589C" w:rsidRDefault="0070589C" w:rsidP="0070589C">
      <w:pPr>
        <w:pStyle w:val="BodyText"/>
        <w:kinsoku w:val="0"/>
        <w:overflowPunct w:val="0"/>
        <w:ind w:right="897"/>
        <w:jc w:val="both"/>
      </w:pPr>
    </w:p>
    <w:p w14:paraId="5EA90F5F" w14:textId="77777777" w:rsidR="0070589C" w:rsidRDefault="0070589C" w:rsidP="0070589C">
      <w:pPr>
        <w:pStyle w:val="BodyText"/>
        <w:kinsoku w:val="0"/>
        <w:overflowPunct w:val="0"/>
        <w:ind w:right="540"/>
        <w:jc w:val="both"/>
      </w:pPr>
      <w:r>
        <w:tab/>
        <w:t xml:space="preserve">The </w:t>
      </w:r>
      <w:r w:rsidRPr="00F74918">
        <w:rPr>
          <w:i/>
        </w:rPr>
        <w:t>City of Apopka</w:t>
      </w:r>
      <w:r>
        <w:t xml:space="preserve"> case is followed by </w:t>
      </w:r>
      <w:r w:rsidRPr="00F74918">
        <w:rPr>
          <w:i/>
        </w:rPr>
        <w:t>Bean v. Southwestern Waste Management Corporation</w:t>
      </w:r>
      <w:r>
        <w:t xml:space="preserve">, one of the seminal decisions in environmental justice and one of the first cases where Equal Protection theory and statistical methods were combined in an attempt to challenge the siting of proposed waste disposal facility.  The effort failed here, but would lead to future advances in both legal argumentation and statistical methods.  </w:t>
      </w:r>
    </w:p>
    <w:p w14:paraId="16BFA53A" w14:textId="77777777" w:rsidR="0070589C" w:rsidRDefault="0070589C" w:rsidP="0070589C">
      <w:pPr>
        <w:pStyle w:val="BodyText"/>
        <w:kinsoku w:val="0"/>
        <w:overflowPunct w:val="0"/>
        <w:ind w:right="897"/>
      </w:pPr>
    </w:p>
    <w:p w14:paraId="51326342" w14:textId="77777777" w:rsidR="0070589C" w:rsidRDefault="0070589C" w:rsidP="0070589C">
      <w:pPr>
        <w:widowControl/>
        <w:autoSpaceDE/>
        <w:autoSpaceDN/>
        <w:adjustRightInd/>
        <w:spacing w:after="160" w:line="259" w:lineRule="auto"/>
        <w:rPr>
          <w:sz w:val="24"/>
          <w:szCs w:val="24"/>
        </w:rPr>
      </w:pPr>
      <w:r>
        <w:br w:type="page"/>
      </w:r>
    </w:p>
    <w:p w14:paraId="1516B5DE" w14:textId="77777777" w:rsidR="0070589C" w:rsidRPr="00ED6C7D" w:rsidRDefault="0070589C" w:rsidP="0070589C">
      <w:pPr>
        <w:pStyle w:val="BodyText"/>
        <w:kinsoku w:val="0"/>
        <w:overflowPunct w:val="0"/>
        <w:ind w:right="897"/>
        <w:jc w:val="center"/>
        <w:rPr>
          <w:b/>
          <w:i/>
          <w:sz w:val="28"/>
          <w:szCs w:val="28"/>
        </w:rPr>
      </w:pPr>
      <w:r w:rsidRPr="00ED6C7D">
        <w:rPr>
          <w:b/>
          <w:i/>
          <w:sz w:val="28"/>
          <w:szCs w:val="28"/>
        </w:rPr>
        <w:lastRenderedPageBreak/>
        <w:t>Notes and Questions</w:t>
      </w:r>
    </w:p>
    <w:p w14:paraId="234BC5CA" w14:textId="77777777" w:rsidR="0070589C" w:rsidRDefault="0070589C" w:rsidP="0070589C">
      <w:pPr>
        <w:pStyle w:val="BodyText"/>
        <w:kinsoku w:val="0"/>
        <w:overflowPunct w:val="0"/>
        <w:ind w:right="897"/>
      </w:pPr>
    </w:p>
    <w:p w14:paraId="2CEF9C71" w14:textId="77777777" w:rsidR="0070589C" w:rsidRDefault="0070589C" w:rsidP="0070589C">
      <w:pPr>
        <w:pStyle w:val="BodyText"/>
        <w:kinsoku w:val="0"/>
        <w:overflowPunct w:val="0"/>
        <w:ind w:right="540"/>
        <w:jc w:val="both"/>
      </w:pPr>
      <w:r>
        <w:tab/>
      </w:r>
      <w:r w:rsidRPr="00ED6C7D">
        <w:rPr>
          <w:b/>
        </w:rPr>
        <w:t xml:space="preserve">1.  </w:t>
      </w:r>
      <w:r w:rsidRPr="00ED6C7D">
        <w:rPr>
          <w:b/>
          <w:i/>
        </w:rPr>
        <w:t>Arlington Heights</w:t>
      </w:r>
      <w:r w:rsidRPr="00ED6C7D">
        <w:rPr>
          <w:b/>
        </w:rPr>
        <w:t xml:space="preserve"> factors.</w:t>
      </w:r>
      <w:r>
        <w:t xml:space="preserve">  Environmental context aside, the </w:t>
      </w:r>
      <w:r w:rsidRPr="00ED6C7D">
        <w:rPr>
          <w:i/>
        </w:rPr>
        <w:t>Bean</w:t>
      </w:r>
      <w:r>
        <w:t xml:space="preserve"> decision as excerpted here may be studied for its textbook application of Equal Protection theory as developed through Supreme Court precedent.  This includes </w:t>
      </w:r>
      <w:r w:rsidRPr="00F76FC3">
        <w:rPr>
          <w:i/>
        </w:rPr>
        <w:t>Washington v. Davis</w:t>
      </w:r>
      <w:r>
        <w:t xml:space="preserve"> (1976), which established that an Equal Protection violation could only be determined by proof of discriminatory intent, and </w:t>
      </w:r>
      <w:r w:rsidRPr="00A707B8">
        <w:rPr>
          <w:i/>
        </w:rPr>
        <w:t>Village of Arlington Heights v. Metropolitan Housing Development Corp</w:t>
      </w:r>
      <w:r>
        <w:t xml:space="preserve">. (1977), which established five factors that courts may consider as circumstantial evidence of discriminatory intent.  The five factors from </w:t>
      </w:r>
      <w:r w:rsidRPr="00A707B8">
        <w:rPr>
          <w:i/>
        </w:rPr>
        <w:t>Arlington Heights</w:t>
      </w:r>
      <w:r>
        <w:t xml:space="preserve"> are introduced in the note on page 125 by Professor Alice Kaswan from her 1999 article.  Over the years, the “five factors” have been variously described, but for simplicity of instruction, the five factors are presented as below:</w:t>
      </w:r>
    </w:p>
    <w:p w14:paraId="7F516E84" w14:textId="77777777" w:rsidR="0070589C" w:rsidRDefault="0070589C" w:rsidP="0070589C">
      <w:pPr>
        <w:pStyle w:val="BodyText"/>
        <w:kinsoku w:val="0"/>
        <w:overflowPunct w:val="0"/>
        <w:ind w:right="897"/>
        <w:jc w:val="both"/>
      </w:pPr>
    </w:p>
    <w:p w14:paraId="7209CB7D" w14:textId="77777777" w:rsidR="0070589C" w:rsidRDefault="0070589C" w:rsidP="0070589C">
      <w:pPr>
        <w:pStyle w:val="BodyText"/>
        <w:numPr>
          <w:ilvl w:val="0"/>
          <w:numId w:val="16"/>
        </w:numPr>
        <w:kinsoku w:val="0"/>
        <w:overflowPunct w:val="0"/>
        <w:ind w:right="897"/>
        <w:jc w:val="both"/>
      </w:pPr>
      <w:r>
        <w:rPr>
          <w:b/>
        </w:rPr>
        <w:t>“Impact of the official action</w:t>
      </w:r>
      <w:r w:rsidRPr="005B471C">
        <w:rPr>
          <w:b/>
        </w:rPr>
        <w:t>.</w:t>
      </w:r>
      <w:r>
        <w:rPr>
          <w:b/>
        </w:rPr>
        <w:t>”</w:t>
      </w:r>
      <w:r>
        <w:t xml:space="preserve">  For example, in </w:t>
      </w:r>
      <w:r w:rsidRPr="005B471C">
        <w:rPr>
          <w:i/>
        </w:rPr>
        <w:t>Yick Wo v. Hopkins</w:t>
      </w:r>
      <w:r>
        <w:t xml:space="preserve"> (1886) (discussed further on page 134, note 4), the City of San Francisco implemented a new permitting ordinance by requiring the closure of 100% of all Chinese-owned laundries (240 altogether), but only one non-Chinese laundry.  The Supreme Court found those extreme impacts as evidence of discriminatory intent.</w:t>
      </w:r>
    </w:p>
    <w:p w14:paraId="7CD07F41" w14:textId="77777777" w:rsidR="0070589C" w:rsidRDefault="0070589C" w:rsidP="0070589C">
      <w:pPr>
        <w:pStyle w:val="BodyText"/>
        <w:kinsoku w:val="0"/>
        <w:overflowPunct w:val="0"/>
        <w:ind w:left="720" w:right="897"/>
        <w:jc w:val="both"/>
      </w:pPr>
    </w:p>
    <w:p w14:paraId="65AEE2C3" w14:textId="77777777" w:rsidR="0070589C" w:rsidRPr="005B471C" w:rsidRDefault="0070589C" w:rsidP="0070589C">
      <w:pPr>
        <w:pStyle w:val="BodyText"/>
        <w:numPr>
          <w:ilvl w:val="0"/>
          <w:numId w:val="16"/>
        </w:numPr>
        <w:kinsoku w:val="0"/>
        <w:overflowPunct w:val="0"/>
        <w:ind w:right="897"/>
        <w:jc w:val="both"/>
        <w:rPr>
          <w:b/>
        </w:rPr>
      </w:pPr>
      <w:r>
        <w:rPr>
          <w:b/>
        </w:rPr>
        <w:t xml:space="preserve">“Historical background.” </w:t>
      </w:r>
      <w:r>
        <w:t xml:space="preserve"> The racist history in a local area may be considered as indicative of continuing discriminatory intent.  In </w:t>
      </w:r>
      <w:r w:rsidRPr="00D2151B">
        <w:rPr>
          <w:i/>
        </w:rPr>
        <w:t>Richmond v. Croson</w:t>
      </w:r>
      <w:r>
        <w:t xml:space="preserve"> (1989), for example, there may have been plenty of reason to believe that there was discrimination against Black construction contractors in Richmond, Virginia (the former capitol of the Confederacy).  However, there was “absolutely no evidence of past discrimination against Spanish-speaking, Oriental, Indian, Eskimo, or Aleut persons in … the Richmond construction industry.”</w:t>
      </w:r>
    </w:p>
    <w:p w14:paraId="013E4050" w14:textId="77777777" w:rsidR="0070589C" w:rsidRDefault="0070589C" w:rsidP="0070589C">
      <w:pPr>
        <w:pStyle w:val="ListParagraph"/>
        <w:jc w:val="both"/>
        <w:rPr>
          <w:b/>
        </w:rPr>
      </w:pPr>
    </w:p>
    <w:p w14:paraId="4C35FF00" w14:textId="77777777" w:rsidR="0070589C" w:rsidRPr="00D72872" w:rsidRDefault="0070589C" w:rsidP="0070589C">
      <w:pPr>
        <w:pStyle w:val="BodyText"/>
        <w:numPr>
          <w:ilvl w:val="0"/>
          <w:numId w:val="16"/>
        </w:numPr>
        <w:kinsoku w:val="0"/>
        <w:overflowPunct w:val="0"/>
        <w:ind w:right="897"/>
        <w:jc w:val="both"/>
        <w:rPr>
          <w:b/>
        </w:rPr>
      </w:pPr>
      <w:r>
        <w:rPr>
          <w:b/>
        </w:rPr>
        <w:t xml:space="preserve">“Clear pattern, unexplainable on grounds other than race.”  </w:t>
      </w:r>
      <w:r>
        <w:t xml:space="preserve">For example, in </w:t>
      </w:r>
      <w:r w:rsidRPr="001D2C61">
        <w:rPr>
          <w:i/>
        </w:rPr>
        <w:t>Rodgers v. Lodge</w:t>
      </w:r>
      <w:r>
        <w:t xml:space="preserve"> (1982), civil rights plaintiffs challenged the at-large elections, instead of district elections, in Burke County, Georgia.  The Supreme Court found a “clear pattern” of discrimination indicated by the fact that “no black had ever been elected to the Burke County Commission.”</w:t>
      </w:r>
    </w:p>
    <w:p w14:paraId="4E8476D8" w14:textId="77777777" w:rsidR="0070589C" w:rsidRDefault="0070589C" w:rsidP="0070589C">
      <w:pPr>
        <w:pStyle w:val="ListParagraph"/>
        <w:jc w:val="both"/>
        <w:rPr>
          <w:b/>
        </w:rPr>
      </w:pPr>
    </w:p>
    <w:p w14:paraId="4AD02B96" w14:textId="77777777" w:rsidR="0070589C" w:rsidRDefault="0070589C" w:rsidP="0070589C">
      <w:pPr>
        <w:pStyle w:val="BodyText"/>
        <w:numPr>
          <w:ilvl w:val="0"/>
          <w:numId w:val="16"/>
        </w:numPr>
        <w:kinsoku w:val="0"/>
        <w:overflowPunct w:val="0"/>
        <w:ind w:right="897"/>
        <w:jc w:val="both"/>
        <w:rPr>
          <w:b/>
        </w:rPr>
      </w:pPr>
      <w:r>
        <w:rPr>
          <w:b/>
        </w:rPr>
        <w:t xml:space="preserve">“Departures from the normal procedural sequence.”  </w:t>
      </w:r>
      <w:r>
        <w:t xml:space="preserve">In </w:t>
      </w:r>
      <w:r w:rsidRPr="00D72872">
        <w:rPr>
          <w:i/>
        </w:rPr>
        <w:t>Gomillion v. Lightfoot</w:t>
      </w:r>
      <w:r>
        <w:t xml:space="preserve"> (1960) (discussed further on page 134, note 4), the City of Tuskegee, Alabama, changed its city boundaries from a square to an “uncouth 28-sided figure” in order to exclude Black residents from voting in city elections.  No legitimate purpose could explain this radical departure from the prior shape of the city boundaries. </w:t>
      </w:r>
    </w:p>
    <w:p w14:paraId="2F2501A5" w14:textId="77777777" w:rsidR="0070589C" w:rsidRDefault="0070589C" w:rsidP="0070589C">
      <w:pPr>
        <w:pStyle w:val="ListParagraph"/>
        <w:jc w:val="both"/>
        <w:rPr>
          <w:b/>
        </w:rPr>
      </w:pPr>
    </w:p>
    <w:p w14:paraId="39BCDCDA" w14:textId="77777777" w:rsidR="0070589C" w:rsidRDefault="0070589C" w:rsidP="0070589C">
      <w:pPr>
        <w:pStyle w:val="BodyText"/>
        <w:numPr>
          <w:ilvl w:val="0"/>
          <w:numId w:val="16"/>
        </w:numPr>
        <w:kinsoku w:val="0"/>
        <w:overflowPunct w:val="0"/>
        <w:ind w:right="897"/>
        <w:jc w:val="both"/>
        <w:rPr>
          <w:b/>
        </w:rPr>
      </w:pPr>
      <w:r>
        <w:rPr>
          <w:b/>
        </w:rPr>
        <w:t>“Contemporary statements.”</w:t>
      </w:r>
      <w:r>
        <w:t xml:space="preserve">  Sometimes, a government action is backed by statements that are facially discriminatory.  In </w:t>
      </w:r>
      <w:r w:rsidRPr="00C04B01">
        <w:rPr>
          <w:i/>
        </w:rPr>
        <w:t>Hunter v. Underwood</w:t>
      </w:r>
      <w:r>
        <w:t xml:space="preserve"> (1985), for example, Justice Rehnquist observed that the Alabama Constitutional Convention of 1901 demonstrated “zeal for white supremacy run rampant.”  More recently, public statements by Donald Trump calling for “a total and complete shutdown of Muslims entering the United States” were used by courts to demonstrate the </w:t>
      </w:r>
      <w:r>
        <w:lastRenderedPageBreak/>
        <w:t xml:space="preserve">discriminatory intent behind the President’s so-called “travel ban.” </w:t>
      </w:r>
      <w:r w:rsidRPr="00230928">
        <w:rPr>
          <w:i/>
          <w:iCs/>
        </w:rPr>
        <w:t>Trump v. Washington</w:t>
      </w:r>
      <w:r>
        <w:t xml:space="preserve">, 847 F.3d 1151; 2017 U.S. App. LEXIS 2369. </w:t>
      </w:r>
      <w:r w:rsidRPr="00230928">
        <w:rPr>
          <w:i/>
          <w:iCs/>
        </w:rPr>
        <w:t>See also</w:t>
      </w:r>
      <w:r>
        <w:t xml:space="preserve"> Jill E. Family, </w:t>
      </w:r>
      <w:r w:rsidRPr="00C921C3">
        <w:rPr>
          <w:i/>
          <w:iCs/>
        </w:rPr>
        <w:t>The Executive Power of Political Emergency: The Travel Ban</w:t>
      </w:r>
      <w:r>
        <w:t xml:space="preserve">, 87 </w:t>
      </w:r>
      <w:r>
        <w:rPr>
          <w:smallCaps/>
        </w:rPr>
        <w:t xml:space="preserve">UMKC </w:t>
      </w:r>
      <w:r w:rsidRPr="00C921C3">
        <w:rPr>
          <w:smallCaps/>
        </w:rPr>
        <w:t>L. Rev.</w:t>
      </w:r>
      <w:r>
        <w:t xml:space="preserve"> 611 (2019).</w:t>
      </w:r>
    </w:p>
    <w:p w14:paraId="1D715CBB" w14:textId="77777777" w:rsidR="0070589C" w:rsidRDefault="0070589C" w:rsidP="0070589C">
      <w:pPr>
        <w:pStyle w:val="ListParagraph"/>
        <w:rPr>
          <w:b/>
        </w:rPr>
      </w:pPr>
    </w:p>
    <w:p w14:paraId="20FF3AFE" w14:textId="77777777" w:rsidR="0070589C" w:rsidRDefault="0070589C" w:rsidP="0070589C">
      <w:pPr>
        <w:pStyle w:val="BodyText"/>
        <w:kinsoku w:val="0"/>
        <w:overflowPunct w:val="0"/>
        <w:ind w:right="540" w:firstLine="720"/>
        <w:jc w:val="both"/>
      </w:pPr>
      <w:r w:rsidRPr="002C475D">
        <w:t xml:space="preserve">To answer the question </w:t>
      </w:r>
      <w:r>
        <w:t xml:space="preserve">asked in this note, the statistical evidence presented by the plaintiffs appears to relate mostly to the </w:t>
      </w:r>
      <w:r w:rsidRPr="002C475D">
        <w:rPr>
          <w:i/>
        </w:rPr>
        <w:t>Arlington Heights</w:t>
      </w:r>
      <w:r>
        <w:t xml:space="preserve"> factor of “clear pattern,” although the pattern did not appear clear enough in the end.  The plaintiffs may have also relied upon the “impact of the official action.”  As suggested by the court, this particular factor could have been bolstered by additional information on where exactly the waste sites were located within each census tract and the impacts from each site to nearby populations.  The “departures” factors might also have been bolstered with additional information on how the state agency makes decisions on permit applications and whether that decision process was followed for each permit approved in this case.  Prior actions by any state agency might also support the factor of “historical background” if it demonstrated a clear history of race discrimination by the State of Texas.  Finally, further investigation into prior permit approvals might reveal “contemporary statements” by state officials indicating facial discrimination.</w:t>
      </w:r>
    </w:p>
    <w:p w14:paraId="7A86D991" w14:textId="77777777" w:rsidR="0070589C" w:rsidRPr="002C475D" w:rsidRDefault="0070589C" w:rsidP="0070589C">
      <w:pPr>
        <w:pStyle w:val="BodyText"/>
        <w:kinsoku w:val="0"/>
        <w:overflowPunct w:val="0"/>
        <w:ind w:right="897" w:firstLine="360"/>
        <w:jc w:val="both"/>
      </w:pPr>
    </w:p>
    <w:p w14:paraId="225591D4" w14:textId="77777777" w:rsidR="0070589C" w:rsidRDefault="0070589C" w:rsidP="0070589C">
      <w:pPr>
        <w:pStyle w:val="BodyText"/>
        <w:kinsoku w:val="0"/>
        <w:overflowPunct w:val="0"/>
        <w:ind w:right="540"/>
        <w:jc w:val="both"/>
      </w:pPr>
      <w:r>
        <w:rPr>
          <w:b/>
        </w:rPr>
        <w:t xml:space="preserve"> </w:t>
      </w:r>
      <w:r>
        <w:rPr>
          <w:b/>
        </w:rPr>
        <w:tab/>
      </w:r>
      <w:r w:rsidRPr="00461924">
        <w:rPr>
          <w:b/>
        </w:rPr>
        <w:t xml:space="preserve">2.  The </w:t>
      </w:r>
      <w:r w:rsidRPr="00461924">
        <w:rPr>
          <w:b/>
          <w:i/>
        </w:rPr>
        <w:t>McDonnell Douglas</w:t>
      </w:r>
      <w:r w:rsidRPr="00461924">
        <w:rPr>
          <w:b/>
        </w:rPr>
        <w:t xml:space="preserve"> framework.</w:t>
      </w:r>
      <w:r>
        <w:t xml:space="preserve">  As an alternative to the </w:t>
      </w:r>
      <w:r w:rsidRPr="00813F04">
        <w:rPr>
          <w:i/>
        </w:rPr>
        <w:t>Arlington Heights</w:t>
      </w:r>
      <w:r>
        <w:t xml:space="preserve"> factors, courts, especially in cases alleging employment discrimination, may use the “tripartite framework” developed in the Supreme Court’s decision in </w:t>
      </w:r>
      <w:r w:rsidRPr="00813F04">
        <w:rPr>
          <w:i/>
        </w:rPr>
        <w:t>McDonnell Douglas Corp. v. Green</w:t>
      </w:r>
      <w:r>
        <w:t xml:space="preserve"> (1973), a case that preceded both </w:t>
      </w:r>
      <w:r w:rsidRPr="00813F04">
        <w:rPr>
          <w:i/>
        </w:rPr>
        <w:t>Washington v. Davis</w:t>
      </w:r>
      <w:r>
        <w:t xml:space="preserve"> (1976) and </w:t>
      </w:r>
      <w:r w:rsidRPr="00813F04">
        <w:rPr>
          <w:i/>
        </w:rPr>
        <w:t>Arlington Heights</w:t>
      </w:r>
      <w:r>
        <w:t xml:space="preserve"> (1977).  Both the </w:t>
      </w:r>
      <w:r w:rsidRPr="00813F04">
        <w:rPr>
          <w:i/>
        </w:rPr>
        <w:t>McDonnell Douglas</w:t>
      </w:r>
      <w:r>
        <w:t xml:space="preserve"> framework and the </w:t>
      </w:r>
      <w:r w:rsidRPr="00813F04">
        <w:rPr>
          <w:i/>
        </w:rPr>
        <w:t>Arlington Heights</w:t>
      </w:r>
      <w:r>
        <w:t xml:space="preserve"> factors have strong similarities.  Both, for example, allow the use of circumstantial evidence to prove discriminatory intent.  Both also function as devices to shift the burden from a plaintiff who establishes a prima facie case to the defendant, who may then be compelled to establish some non-discriminatory purpose for the state action.  Where the two frameworks may differ is on the specificity of the five </w:t>
      </w:r>
      <w:r w:rsidRPr="00813F04">
        <w:rPr>
          <w:i/>
        </w:rPr>
        <w:t>Arlington Heights</w:t>
      </w:r>
      <w:r>
        <w:t xml:space="preserve"> factors and on the final step of the </w:t>
      </w:r>
      <w:r w:rsidRPr="00813F04">
        <w:rPr>
          <w:i/>
        </w:rPr>
        <w:t>McDonnell Douglas</w:t>
      </w:r>
      <w:r>
        <w:t xml:space="preserve"> framework, which invites plaintiffs to assert any kind of challenge to a purported non-discriminatory basis for the defendant’s action.  As such, the </w:t>
      </w:r>
      <w:r w:rsidRPr="00ED71DE">
        <w:rPr>
          <w:i/>
        </w:rPr>
        <w:t>McDonnell Douglas</w:t>
      </w:r>
      <w:r>
        <w:t xml:space="preserve"> framework may provide some advantage for plaintiffs challenging allegedly discriminatory conduct.  </w:t>
      </w:r>
    </w:p>
    <w:p w14:paraId="47C8391F" w14:textId="77777777" w:rsidR="0070589C" w:rsidRDefault="0070589C" w:rsidP="0070589C">
      <w:pPr>
        <w:pStyle w:val="BodyText"/>
        <w:kinsoku w:val="0"/>
        <w:overflowPunct w:val="0"/>
        <w:ind w:right="897"/>
        <w:jc w:val="both"/>
      </w:pPr>
    </w:p>
    <w:p w14:paraId="6744428F" w14:textId="77777777" w:rsidR="0070589C" w:rsidRDefault="0070589C" w:rsidP="0070589C">
      <w:pPr>
        <w:pStyle w:val="BodyText"/>
        <w:kinsoku w:val="0"/>
        <w:overflowPunct w:val="0"/>
        <w:ind w:right="540" w:firstLine="720"/>
        <w:jc w:val="both"/>
      </w:pPr>
      <w:r>
        <w:t xml:space="preserve">In the hypothetical presented here, for example, the fact of the disparate funding for wastewater treatment may be enough to shift the burden to defendants under a </w:t>
      </w:r>
      <w:r w:rsidRPr="00ED71DE">
        <w:rPr>
          <w:i/>
        </w:rPr>
        <w:t>McDonnell Douglas</w:t>
      </w:r>
      <w:r>
        <w:t xml:space="preserve"> analysis, but may not be enough to shift the burden under </w:t>
      </w:r>
      <w:r w:rsidRPr="00ED71DE">
        <w:rPr>
          <w:i/>
        </w:rPr>
        <w:t>Arlington Heights</w:t>
      </w:r>
      <w:r>
        <w:t xml:space="preserve">, unless there was additional information such as a history of race discrimination in this area.  For further analysis and comparison of the </w:t>
      </w:r>
      <w:r w:rsidRPr="00ED71DE">
        <w:rPr>
          <w:i/>
        </w:rPr>
        <w:t>McDonnell Douglas</w:t>
      </w:r>
      <w:r>
        <w:t xml:space="preserve"> framework with the </w:t>
      </w:r>
      <w:r w:rsidRPr="00ED71DE">
        <w:rPr>
          <w:i/>
        </w:rPr>
        <w:t>Arlington Heights</w:t>
      </w:r>
      <w:r>
        <w:t xml:space="preserve"> factors, </w:t>
      </w:r>
      <w:r w:rsidRPr="00625FA8">
        <w:rPr>
          <w:i/>
          <w:iCs/>
        </w:rPr>
        <w:t>see</w:t>
      </w:r>
      <w:r>
        <w:t xml:space="preserve"> Michael Selmi, </w:t>
      </w:r>
      <w:r w:rsidRPr="006113EE">
        <w:rPr>
          <w:i/>
          <w:iCs/>
        </w:rPr>
        <w:t>Proving Intentional Discrimination: The Reality of Supreme Court Rhetoric</w:t>
      </w:r>
      <w:r>
        <w:t xml:space="preserve">, </w:t>
      </w:r>
      <w:r w:rsidRPr="006113EE">
        <w:rPr>
          <w:smallCaps/>
        </w:rPr>
        <w:t xml:space="preserve">86 Geo. L.J. </w:t>
      </w:r>
      <w:r>
        <w:t xml:space="preserve">279 (1997). </w:t>
      </w:r>
    </w:p>
    <w:p w14:paraId="40BA6228" w14:textId="77777777" w:rsidR="0070589C" w:rsidRDefault="0070589C" w:rsidP="0070589C">
      <w:pPr>
        <w:pStyle w:val="BodyText"/>
        <w:kinsoku w:val="0"/>
        <w:overflowPunct w:val="0"/>
        <w:ind w:right="897"/>
        <w:jc w:val="both"/>
      </w:pPr>
    </w:p>
    <w:p w14:paraId="49547C30" w14:textId="77777777" w:rsidR="0070589C" w:rsidRDefault="0070589C" w:rsidP="0070589C">
      <w:pPr>
        <w:pStyle w:val="BodyText"/>
        <w:kinsoku w:val="0"/>
        <w:overflowPunct w:val="0"/>
        <w:ind w:right="540"/>
        <w:jc w:val="both"/>
      </w:pPr>
      <w:r>
        <w:tab/>
      </w:r>
      <w:r w:rsidRPr="00ED71DE">
        <w:rPr>
          <w:b/>
        </w:rPr>
        <w:t xml:space="preserve">3.  Measuring </w:t>
      </w:r>
      <w:r>
        <w:rPr>
          <w:b/>
        </w:rPr>
        <w:t>d</w:t>
      </w:r>
      <w:r w:rsidRPr="00ED71DE">
        <w:rPr>
          <w:b/>
        </w:rPr>
        <w:t>iscrimina</w:t>
      </w:r>
      <w:r>
        <w:rPr>
          <w:b/>
        </w:rPr>
        <w:t>tory impact</w:t>
      </w:r>
      <w:r w:rsidRPr="00ED71DE">
        <w:rPr>
          <w:b/>
        </w:rPr>
        <w:t>.</w:t>
      </w:r>
      <w:r>
        <w:t xml:space="preserve">  The questions raised in this note are questions for class discussion and critical reflection.  However, they are not questions subject to ready answers, even after all the years since </w:t>
      </w:r>
      <w:r w:rsidRPr="00ED71DE">
        <w:rPr>
          <w:i/>
        </w:rPr>
        <w:t>Bean</w:t>
      </w:r>
      <w:r>
        <w:t xml:space="preserve">.  Today, different jurisdictions may use a variety of demographic factors to identify vulnerable and underserved communities.  These </w:t>
      </w:r>
      <w:r>
        <w:lastRenderedPageBreak/>
        <w:t>include “disadvantaged communities” in California and “environmental justice areas” in New York.  The U.S. EPA has mostly moved away from any attempt to identify or designate “minority” communities or “EJ” communities.  Instead, as further discussed in Chapter 12, EPA now provides the public with GIS tools such as EJSCREEN to allow any interested parties to define their own search (e.g., city, census tract, or radius from a facility) and use the results however they choose.</w:t>
      </w:r>
    </w:p>
    <w:p w14:paraId="492D073E" w14:textId="77777777" w:rsidR="0070589C" w:rsidRDefault="0070589C" w:rsidP="0070589C">
      <w:pPr>
        <w:pStyle w:val="BodyText"/>
        <w:kinsoku w:val="0"/>
        <w:overflowPunct w:val="0"/>
        <w:ind w:right="897"/>
      </w:pPr>
    </w:p>
    <w:p w14:paraId="5F7BAC24" w14:textId="77777777" w:rsidR="0070589C" w:rsidRDefault="0070589C" w:rsidP="0070589C">
      <w:pPr>
        <w:pStyle w:val="BodyText"/>
        <w:kinsoku w:val="0"/>
        <w:overflowPunct w:val="0"/>
        <w:ind w:right="540"/>
        <w:jc w:val="both"/>
      </w:pPr>
      <w:r>
        <w:tab/>
      </w:r>
      <w:r w:rsidRPr="00041209">
        <w:rPr>
          <w:b/>
        </w:rPr>
        <w:t xml:space="preserve">4.  Sympathies and statistics. </w:t>
      </w:r>
      <w:r>
        <w:t xml:space="preserve"> This note invites students to imagine how the plaintiffs might have prevailed in </w:t>
      </w:r>
      <w:r w:rsidRPr="009C3A72">
        <w:rPr>
          <w:i/>
        </w:rPr>
        <w:t>Bean</w:t>
      </w:r>
      <w:r>
        <w:t xml:space="preserve">, instead of the case going down in history as a major loss for environmental justice advocates.  For example, through reference to </w:t>
      </w:r>
      <w:r w:rsidRPr="009C3A72">
        <w:rPr>
          <w:i/>
        </w:rPr>
        <w:t>Gomillion</w:t>
      </w:r>
      <w:r>
        <w:t xml:space="preserve"> and </w:t>
      </w:r>
      <w:r w:rsidRPr="009C3A72">
        <w:rPr>
          <w:i/>
        </w:rPr>
        <w:t>Yick Wo</w:t>
      </w:r>
      <w:r>
        <w:t xml:space="preserve">, the court indicates that it might have been persuaded by more egregious statistics indicating discriminatory intent.  The court also suggests that instead of more data about the location of waste sites, the plaintiffs might have offered more data about the location of residential homes, schools, churches, and businesses located near the waste sites and affected by wind patterns, traffic patterns, and other factors.  </w:t>
      </w:r>
    </w:p>
    <w:p w14:paraId="2687BA05" w14:textId="77777777" w:rsidR="0070589C" w:rsidRDefault="0070589C" w:rsidP="0070589C">
      <w:pPr>
        <w:pStyle w:val="BodyText"/>
        <w:kinsoku w:val="0"/>
        <w:overflowPunct w:val="0"/>
        <w:ind w:right="897"/>
        <w:jc w:val="both"/>
      </w:pPr>
    </w:p>
    <w:p w14:paraId="3FF81C98" w14:textId="77777777" w:rsidR="0070589C" w:rsidRDefault="0070589C" w:rsidP="0070589C">
      <w:pPr>
        <w:pStyle w:val="BodyText"/>
        <w:kinsoku w:val="0"/>
        <w:overflowPunct w:val="0"/>
        <w:ind w:right="540"/>
        <w:jc w:val="both"/>
      </w:pPr>
      <w:r>
        <w:tab/>
      </w:r>
      <w:r w:rsidRPr="009C3A72">
        <w:rPr>
          <w:b/>
        </w:rPr>
        <w:t xml:space="preserve">5.  </w:t>
      </w:r>
      <w:r w:rsidRPr="009C3A72">
        <w:rPr>
          <w:b/>
          <w:i/>
        </w:rPr>
        <w:t>Bean</w:t>
      </w:r>
      <w:r w:rsidRPr="009C3A72">
        <w:rPr>
          <w:b/>
        </w:rPr>
        <w:t xml:space="preserve"> and the Bullards.</w:t>
      </w:r>
      <w:r>
        <w:t xml:space="preserve">  As indicated in this note, there is some fascinating background to the </w:t>
      </w:r>
      <w:r w:rsidRPr="00DC1C21">
        <w:rPr>
          <w:i/>
        </w:rPr>
        <w:t>Bean</w:t>
      </w:r>
      <w:r>
        <w:t xml:space="preserve"> case that is worth sharing with students.  Based in part on his role in the </w:t>
      </w:r>
      <w:r w:rsidRPr="00DC1C21">
        <w:rPr>
          <w:i/>
        </w:rPr>
        <w:t>Bean</w:t>
      </w:r>
      <w:r>
        <w:t xml:space="preserve"> case alongside his then-wife Linda McKeever Bullard, Dr. Robert Bullard wrote some of the early classics of environmental justice literature, including </w:t>
      </w:r>
      <w:r w:rsidRPr="00DC1C21">
        <w:rPr>
          <w:smallCaps/>
        </w:rPr>
        <w:t>Dumping in Dixie</w:t>
      </w:r>
      <w:r>
        <w:t xml:space="preserve"> (1990), and he remains known widely today as the “Father of Environmental Justice.”</w:t>
      </w:r>
    </w:p>
    <w:p w14:paraId="2C6DD7B3" w14:textId="77777777" w:rsidR="0070589C" w:rsidRDefault="0070589C" w:rsidP="0070589C">
      <w:pPr>
        <w:pStyle w:val="BodyText"/>
        <w:kinsoku w:val="0"/>
        <w:overflowPunct w:val="0"/>
        <w:ind w:right="897"/>
        <w:jc w:val="both"/>
      </w:pPr>
    </w:p>
    <w:p w14:paraId="0CF8B7C3" w14:textId="77777777" w:rsidR="0070589C" w:rsidRDefault="0070589C" w:rsidP="0070589C">
      <w:pPr>
        <w:pStyle w:val="BodyText"/>
        <w:kinsoku w:val="0"/>
        <w:overflowPunct w:val="0"/>
        <w:ind w:right="540"/>
        <w:jc w:val="both"/>
      </w:pPr>
      <w:r>
        <w:tab/>
      </w:r>
      <w:r w:rsidRPr="00DC1C21">
        <w:rPr>
          <w:b/>
        </w:rPr>
        <w:t>6.  Smiley High School.</w:t>
      </w:r>
      <w:r>
        <w:t xml:space="preserve">  This note serves as a reminder that the cases discussed in this book are not just stories or legends.  They involve real people and real places that may remain struggling with many sociological concerns today.  For the particular high school at issue in </w:t>
      </w:r>
      <w:r w:rsidRPr="00DC1C21">
        <w:rPr>
          <w:i/>
        </w:rPr>
        <w:t>Bean</w:t>
      </w:r>
      <w:r>
        <w:t>, there has been some notable progress, including construction of an entirely new campus (with air conditioning).  On the downside, the high school also reflects the profound struggles with academic success that mark many public schools today.  The high school today also reflects changing demographics and “re-segregation” that tends to concentrate minority and low-income students in certain areas.</w:t>
      </w:r>
    </w:p>
    <w:p w14:paraId="3CAE5D20" w14:textId="77777777" w:rsidR="0070589C" w:rsidRDefault="0070589C" w:rsidP="0070589C">
      <w:pPr>
        <w:jc w:val="both"/>
        <w:rPr>
          <w:sz w:val="24"/>
          <w:szCs w:val="24"/>
        </w:rPr>
      </w:pPr>
    </w:p>
    <w:p w14:paraId="083771B1" w14:textId="77777777" w:rsidR="0070589C" w:rsidRDefault="0070589C" w:rsidP="0070589C">
      <w:pPr>
        <w:ind w:right="540"/>
        <w:jc w:val="both"/>
        <w:rPr>
          <w:sz w:val="24"/>
          <w:szCs w:val="24"/>
        </w:rPr>
      </w:pPr>
      <w:r>
        <w:rPr>
          <w:sz w:val="24"/>
          <w:szCs w:val="24"/>
        </w:rPr>
        <w:tab/>
        <w:t xml:space="preserve">The case of </w:t>
      </w:r>
      <w:r w:rsidRPr="00E870D3">
        <w:rPr>
          <w:i/>
          <w:sz w:val="24"/>
          <w:szCs w:val="24"/>
        </w:rPr>
        <w:t>R.I.S.E. v. Kay</w:t>
      </w:r>
      <w:r>
        <w:rPr>
          <w:sz w:val="24"/>
          <w:szCs w:val="24"/>
        </w:rPr>
        <w:t xml:space="preserve">, decided a dozen years after the district court decision in </w:t>
      </w:r>
      <w:r w:rsidRPr="00E870D3">
        <w:rPr>
          <w:i/>
          <w:sz w:val="24"/>
          <w:szCs w:val="24"/>
        </w:rPr>
        <w:t>Bean</w:t>
      </w:r>
      <w:r>
        <w:rPr>
          <w:sz w:val="24"/>
          <w:szCs w:val="24"/>
        </w:rPr>
        <w:t xml:space="preserve">, is another case where plaintiffs challenged the siting of a waste facility and ultimately failed in their efforts. </w:t>
      </w:r>
    </w:p>
    <w:p w14:paraId="52113757" w14:textId="77777777" w:rsidR="0070589C" w:rsidRDefault="0070589C" w:rsidP="0070589C">
      <w:pPr>
        <w:rPr>
          <w:sz w:val="24"/>
          <w:szCs w:val="24"/>
        </w:rPr>
      </w:pPr>
    </w:p>
    <w:p w14:paraId="7984EC9A" w14:textId="77777777" w:rsidR="0070589C" w:rsidRPr="00B23325" w:rsidRDefault="0070589C" w:rsidP="0070589C">
      <w:pPr>
        <w:jc w:val="center"/>
        <w:rPr>
          <w:b/>
          <w:i/>
          <w:sz w:val="28"/>
          <w:szCs w:val="28"/>
        </w:rPr>
      </w:pPr>
      <w:r w:rsidRPr="00B23325">
        <w:rPr>
          <w:b/>
          <w:i/>
          <w:sz w:val="28"/>
          <w:szCs w:val="28"/>
        </w:rPr>
        <w:t>Notes and Questions</w:t>
      </w:r>
    </w:p>
    <w:p w14:paraId="7B75D4A4" w14:textId="77777777" w:rsidR="0070589C" w:rsidRDefault="0070589C" w:rsidP="0070589C">
      <w:pPr>
        <w:rPr>
          <w:sz w:val="24"/>
          <w:szCs w:val="24"/>
        </w:rPr>
      </w:pPr>
    </w:p>
    <w:p w14:paraId="726B8BCA" w14:textId="77777777" w:rsidR="0070589C" w:rsidRDefault="0070589C" w:rsidP="0070589C">
      <w:pPr>
        <w:ind w:right="540"/>
        <w:jc w:val="both"/>
        <w:rPr>
          <w:sz w:val="24"/>
          <w:szCs w:val="24"/>
        </w:rPr>
      </w:pPr>
      <w:r>
        <w:rPr>
          <w:sz w:val="24"/>
          <w:szCs w:val="24"/>
        </w:rPr>
        <w:tab/>
      </w:r>
      <w:r w:rsidRPr="00B23325">
        <w:rPr>
          <w:b/>
          <w:sz w:val="24"/>
          <w:szCs w:val="24"/>
        </w:rPr>
        <w:t>1.  Getting it wrong?</w:t>
      </w:r>
      <w:r>
        <w:rPr>
          <w:sz w:val="24"/>
          <w:szCs w:val="24"/>
        </w:rPr>
        <w:t xml:space="preserve">  As indicated in this note, even where substantial evidence exists to satisfy one or more of the </w:t>
      </w:r>
      <w:r w:rsidRPr="00B23325">
        <w:rPr>
          <w:i/>
          <w:sz w:val="24"/>
          <w:szCs w:val="24"/>
        </w:rPr>
        <w:t>Arlington Heights</w:t>
      </w:r>
      <w:r>
        <w:rPr>
          <w:sz w:val="24"/>
          <w:szCs w:val="24"/>
        </w:rPr>
        <w:t xml:space="preserve"> factors, courts do still sometimes reach results adverse to environmental justice advocates.  In this case, the result may have reflected the court’s failure to consider important factors such as the history of discrimination in this area of the South.  The decision may also have reflected the plaintiffs’ failure to build a complete record before the district court, relying instead on an appellate brief to provide evidence of “contemporary statements” indicating facial discrimination.</w:t>
      </w:r>
    </w:p>
    <w:p w14:paraId="22DEBA19" w14:textId="77777777" w:rsidR="0070589C" w:rsidRDefault="0070589C" w:rsidP="0070589C">
      <w:pPr>
        <w:jc w:val="both"/>
        <w:rPr>
          <w:sz w:val="24"/>
          <w:szCs w:val="24"/>
        </w:rPr>
      </w:pPr>
    </w:p>
    <w:p w14:paraId="55961258" w14:textId="77777777" w:rsidR="0070589C" w:rsidRDefault="0070589C" w:rsidP="0070589C">
      <w:pPr>
        <w:ind w:right="540"/>
        <w:jc w:val="both"/>
        <w:rPr>
          <w:sz w:val="24"/>
          <w:szCs w:val="24"/>
        </w:rPr>
      </w:pPr>
      <w:r>
        <w:rPr>
          <w:sz w:val="24"/>
          <w:szCs w:val="24"/>
        </w:rPr>
        <w:tab/>
      </w:r>
      <w:r w:rsidRPr="005B642B">
        <w:rPr>
          <w:b/>
          <w:sz w:val="24"/>
          <w:szCs w:val="24"/>
        </w:rPr>
        <w:t>2.  Discrimination contexts.</w:t>
      </w:r>
      <w:r>
        <w:rPr>
          <w:sz w:val="24"/>
          <w:szCs w:val="24"/>
        </w:rPr>
        <w:t xml:space="preserve">  On its face, the Equal Protection Clause applies to </w:t>
      </w:r>
      <w:r>
        <w:rPr>
          <w:sz w:val="24"/>
          <w:szCs w:val="24"/>
        </w:rPr>
        <w:lastRenderedPageBreak/>
        <w:t xml:space="preserve">actions by a “state” (“nor shall any State … deny to any person within its jurisdiction the equal protection of the laws”).  Theoretically, for purposes of the Equal Protection doctrine, “state action” may be triggered equally by either the state acting directly (e.g., constructing a bridge) or acting indirectly (e.g., approving construction of a bridge by private actors).  </w:t>
      </w:r>
      <w:r w:rsidRPr="00D508D7">
        <w:rPr>
          <w:i/>
          <w:sz w:val="24"/>
          <w:szCs w:val="24"/>
        </w:rPr>
        <w:t>See, e.g.,</w:t>
      </w:r>
      <w:r>
        <w:rPr>
          <w:sz w:val="24"/>
          <w:szCs w:val="24"/>
        </w:rPr>
        <w:t xml:space="preserve"> Shelley v. Kraemer (1948) (finding judicial enforcement of a racist neighborhood covenant to constitute state action for purposes of an Equal Protection violation).  Nevertheless, as indicated in </w:t>
      </w:r>
      <w:r w:rsidRPr="00D508D7">
        <w:rPr>
          <w:i/>
          <w:sz w:val="24"/>
          <w:szCs w:val="24"/>
        </w:rPr>
        <w:t>City of Apopka</w:t>
      </w:r>
      <w:r>
        <w:rPr>
          <w:sz w:val="24"/>
          <w:szCs w:val="24"/>
        </w:rPr>
        <w:t xml:space="preserve"> and again in </w:t>
      </w:r>
      <w:r w:rsidRPr="00D508D7">
        <w:rPr>
          <w:i/>
          <w:sz w:val="24"/>
          <w:szCs w:val="24"/>
        </w:rPr>
        <w:t>City of Dallas</w:t>
      </w:r>
      <w:r>
        <w:rPr>
          <w:sz w:val="24"/>
          <w:szCs w:val="24"/>
        </w:rPr>
        <w:t xml:space="preserve"> (cited in this note), courts may take a harder look when the question involves provision of services.  One explanation may involve the court’s assessment of what is at stake in the litigation.  In the view of the court, it may be one thing to stop construction of one more waste disposal site among dozens of existing sites, and yet quite another thing to deprive an entire community of sidewalks, sanitation, or safe drinking water.  </w:t>
      </w:r>
    </w:p>
    <w:p w14:paraId="794A9BD2" w14:textId="77777777" w:rsidR="0070589C" w:rsidRDefault="0070589C" w:rsidP="0070589C">
      <w:pPr>
        <w:rPr>
          <w:sz w:val="24"/>
          <w:szCs w:val="24"/>
        </w:rPr>
      </w:pPr>
    </w:p>
    <w:p w14:paraId="3E48D009" w14:textId="77777777" w:rsidR="0070589C" w:rsidRDefault="0070589C" w:rsidP="0070589C">
      <w:pPr>
        <w:ind w:right="540"/>
        <w:jc w:val="both"/>
        <w:rPr>
          <w:sz w:val="24"/>
          <w:szCs w:val="24"/>
        </w:rPr>
      </w:pPr>
      <w:r>
        <w:rPr>
          <w:sz w:val="24"/>
          <w:szCs w:val="24"/>
        </w:rPr>
        <w:tab/>
      </w:r>
      <w:r w:rsidRPr="00D508D7">
        <w:rPr>
          <w:b/>
          <w:sz w:val="24"/>
          <w:szCs w:val="24"/>
        </w:rPr>
        <w:t>3.  Equal Protection:  Dead end – or alive and kicking?</w:t>
      </w:r>
      <w:r>
        <w:rPr>
          <w:sz w:val="24"/>
          <w:szCs w:val="24"/>
        </w:rPr>
        <w:t xml:space="preserve">  This note responds to Prof. Kaswan’s modest assessment in 1999 that it may be “premature” to abandon legal claims under Equal Protection.  In fact, the last two decades have confirmed that Equal Protection claims remain a viable and potentially powerful approach to addressing discrimination based upon race, religion, ethnicity, and other protected classes.  In short, Equal Protection claims, while burdened with proof requirements established by case law, very much remain alive and kicking.</w:t>
      </w:r>
    </w:p>
    <w:p w14:paraId="0A61AFC8" w14:textId="77777777" w:rsidR="0070589C" w:rsidRDefault="0070589C" w:rsidP="0070589C">
      <w:pPr>
        <w:jc w:val="both"/>
        <w:rPr>
          <w:sz w:val="24"/>
          <w:szCs w:val="24"/>
        </w:rPr>
      </w:pPr>
    </w:p>
    <w:p w14:paraId="60A13C35" w14:textId="77777777" w:rsidR="0070589C" w:rsidRDefault="0070589C" w:rsidP="0070589C">
      <w:pPr>
        <w:ind w:right="540"/>
        <w:jc w:val="both"/>
        <w:rPr>
          <w:sz w:val="24"/>
          <w:szCs w:val="24"/>
        </w:rPr>
      </w:pPr>
      <w:r>
        <w:rPr>
          <w:sz w:val="24"/>
          <w:szCs w:val="24"/>
        </w:rPr>
        <w:tab/>
      </w:r>
      <w:r w:rsidRPr="008E447F">
        <w:rPr>
          <w:b/>
          <w:sz w:val="24"/>
          <w:szCs w:val="24"/>
        </w:rPr>
        <w:t>4.  Substantive Due Process?</w:t>
      </w:r>
      <w:r>
        <w:rPr>
          <w:sz w:val="24"/>
          <w:szCs w:val="24"/>
        </w:rPr>
        <w:t xml:space="preserve">  With the constraints imposed by the Supreme Court on Equal Protection violations, many scholars and advocates have suggested greater use of precedent under the doctrine of Substantive Due Process to pursue environmental justice.  Students should be encouraged to explore how the Substantive Due Process dimensions of “bodily integrity” and “personal autonomy” might be used to achieve environmental justice.  In one interesting case following 9/11, residents of Lower Manhattan filed a class action suit against Christine Todd Whitman, then the Administrator of the U.S. EPA, for her failure to warn them of dangers from the dust remaining after buildings collapsed.  While the Second Circuit eventually dismissed the case based upon qualified immunity, the trial judge in that case held that Whitman’s action in that matter constituted a violation of clearly established “substantive due process right to be free from official government policies that increase the risk of bodily harm.”  Benzman v. Whitman, 2006 WL 250527, at 18 (S.D.N.Y. 2006), overturned on other grounds, 523 F.3d 119 (2d Cir. 2007). </w:t>
      </w:r>
    </w:p>
    <w:p w14:paraId="248FB212" w14:textId="77777777" w:rsidR="0070589C" w:rsidRDefault="0070589C" w:rsidP="0070589C">
      <w:pPr>
        <w:ind w:right="828"/>
        <w:jc w:val="both"/>
        <w:rPr>
          <w:sz w:val="24"/>
          <w:szCs w:val="24"/>
        </w:rPr>
      </w:pPr>
    </w:p>
    <w:p w14:paraId="37AF16D6" w14:textId="77777777" w:rsidR="0070589C" w:rsidRDefault="0070589C" w:rsidP="0070589C">
      <w:pPr>
        <w:ind w:right="540"/>
        <w:jc w:val="both"/>
        <w:rPr>
          <w:sz w:val="24"/>
          <w:szCs w:val="24"/>
        </w:rPr>
      </w:pPr>
      <w:r>
        <w:rPr>
          <w:sz w:val="24"/>
          <w:szCs w:val="24"/>
        </w:rPr>
        <w:tab/>
      </w:r>
      <w:r w:rsidRPr="008E447F">
        <w:rPr>
          <w:b/>
          <w:sz w:val="24"/>
          <w:szCs w:val="24"/>
        </w:rPr>
        <w:t>5.  State constitutions.</w:t>
      </w:r>
      <w:r>
        <w:rPr>
          <w:sz w:val="24"/>
          <w:szCs w:val="24"/>
        </w:rPr>
        <w:t xml:space="preserve">  This note reminds readers to consider constitutional rights to environmental protection under state constitutions.  Instructors may ask students to read their state constitution and identify any environmental provisions that may be used to pursue environmental justice.  In addition to such potential textual support, EJ advocates may find more receptive audiences among state supreme court justices, as compared to the increasingly conservative members of the U.S. Supreme Court.</w:t>
      </w:r>
    </w:p>
    <w:p w14:paraId="530BCF5B" w14:textId="77777777" w:rsidR="0070589C" w:rsidRDefault="0070589C" w:rsidP="0070589C">
      <w:pPr>
        <w:ind w:right="828"/>
        <w:jc w:val="both"/>
        <w:rPr>
          <w:sz w:val="24"/>
          <w:szCs w:val="24"/>
        </w:rPr>
      </w:pPr>
    </w:p>
    <w:p w14:paraId="071EB812" w14:textId="77777777" w:rsidR="0070589C" w:rsidRDefault="0070589C" w:rsidP="0070589C">
      <w:pPr>
        <w:ind w:right="540" w:firstLine="720"/>
        <w:jc w:val="both"/>
        <w:rPr>
          <w:sz w:val="24"/>
          <w:szCs w:val="24"/>
        </w:rPr>
      </w:pPr>
      <w:r>
        <w:rPr>
          <w:b/>
          <w:sz w:val="24"/>
          <w:szCs w:val="24"/>
        </w:rPr>
        <w:t>6</w:t>
      </w:r>
      <w:r w:rsidRPr="002E3B92">
        <w:rPr>
          <w:b/>
          <w:sz w:val="24"/>
          <w:szCs w:val="24"/>
        </w:rPr>
        <w:t xml:space="preserve">.  Environmental law vs. civil rights?  </w:t>
      </w:r>
      <w:r>
        <w:rPr>
          <w:sz w:val="24"/>
          <w:szCs w:val="24"/>
        </w:rPr>
        <w:t xml:space="preserve">This note, with a key excerpt from a 2002 article by Professor Tseming Yang, suggests a potential conflict between environmental laws and civil rights legislation:  while environmental law may reflect the will of a political majority (e.g., through the lobbying of mainstream environmental groups in Washington, </w:t>
      </w:r>
      <w:r>
        <w:rPr>
          <w:sz w:val="24"/>
          <w:szCs w:val="24"/>
        </w:rPr>
        <w:lastRenderedPageBreak/>
        <w:t>D.C.), civil rights legislation is explicitly intended to constrain political majorities in favor of protecting the rights of racial and other minorities.  Does this mean that environmental legislation and civil rights legislation necessarily or potentially conflict?  For one answer, consider that the last 20 years have seen almost no successful civil rights litigation to address environmental problems, as the next part will detail. As such, civil rights litigation has certainly posed no conflict for environmental litigation, although the two approaches may sometimes prove complementary, filling gaps in each approach.</w:t>
      </w:r>
    </w:p>
    <w:p w14:paraId="40882E21" w14:textId="77777777" w:rsidR="0070589C" w:rsidRDefault="0070589C" w:rsidP="0070589C">
      <w:pPr>
        <w:rPr>
          <w:sz w:val="24"/>
          <w:szCs w:val="24"/>
        </w:rPr>
      </w:pPr>
    </w:p>
    <w:p w14:paraId="435E8C8B" w14:textId="77777777" w:rsidR="0070589C" w:rsidRDefault="0070589C" w:rsidP="0070589C">
      <w:pPr>
        <w:rPr>
          <w:b/>
          <w:sz w:val="24"/>
          <w:szCs w:val="24"/>
        </w:rPr>
      </w:pPr>
      <w:r w:rsidRPr="0056243F">
        <w:rPr>
          <w:b/>
          <w:sz w:val="24"/>
          <w:szCs w:val="24"/>
        </w:rPr>
        <w:t>D.  Enforcement of the Civil Rights Act, Title VI</w:t>
      </w:r>
    </w:p>
    <w:p w14:paraId="1D428132" w14:textId="77777777" w:rsidR="0070589C" w:rsidRDefault="0070589C" w:rsidP="0070589C">
      <w:pPr>
        <w:rPr>
          <w:b/>
          <w:sz w:val="24"/>
          <w:szCs w:val="24"/>
        </w:rPr>
      </w:pPr>
    </w:p>
    <w:p w14:paraId="1B6326B2" w14:textId="77777777" w:rsidR="0070589C" w:rsidRDefault="0070589C" w:rsidP="0070589C">
      <w:pPr>
        <w:ind w:right="540" w:firstLine="720"/>
        <w:jc w:val="both"/>
        <w:rPr>
          <w:sz w:val="24"/>
          <w:szCs w:val="24"/>
        </w:rPr>
      </w:pPr>
      <w:r>
        <w:rPr>
          <w:b/>
          <w:sz w:val="24"/>
          <w:szCs w:val="24"/>
        </w:rPr>
        <w:t xml:space="preserve">1.  </w:t>
      </w:r>
      <w:r w:rsidRPr="000640FC">
        <w:rPr>
          <w:b/>
          <w:sz w:val="24"/>
          <w:szCs w:val="24"/>
        </w:rPr>
        <w:t xml:space="preserve">Introduction. </w:t>
      </w:r>
      <w:r w:rsidRPr="000640FC">
        <w:rPr>
          <w:sz w:val="24"/>
          <w:szCs w:val="24"/>
        </w:rPr>
        <w:t xml:space="preserve">  This section introduces the law of Civil Rights Act Title VI, which has been shaped </w:t>
      </w:r>
      <w:r>
        <w:rPr>
          <w:sz w:val="24"/>
          <w:szCs w:val="24"/>
        </w:rPr>
        <w:t xml:space="preserve">by statutory text, implementing regulations, case law such as </w:t>
      </w:r>
      <w:r w:rsidRPr="000640FC">
        <w:rPr>
          <w:i/>
          <w:sz w:val="24"/>
          <w:szCs w:val="24"/>
        </w:rPr>
        <w:t>Alexander v. Sandoval</w:t>
      </w:r>
      <w:r>
        <w:rPr>
          <w:sz w:val="24"/>
          <w:szCs w:val="24"/>
        </w:rPr>
        <w:t xml:space="preserve"> (2001), and the largely ineffective implementation by the former EPA Office of Civil Rights (now, the EPA External Civil Rights Compliance Office).  </w:t>
      </w:r>
    </w:p>
    <w:p w14:paraId="45D031BD" w14:textId="77777777" w:rsidR="0070589C" w:rsidRDefault="0070589C" w:rsidP="0070589C">
      <w:pPr>
        <w:ind w:firstLine="720"/>
        <w:jc w:val="both"/>
        <w:rPr>
          <w:sz w:val="24"/>
          <w:szCs w:val="24"/>
        </w:rPr>
      </w:pPr>
    </w:p>
    <w:p w14:paraId="5F10E68A" w14:textId="77777777" w:rsidR="0070589C" w:rsidRDefault="0070589C" w:rsidP="0070589C">
      <w:pPr>
        <w:ind w:right="540" w:firstLine="720"/>
        <w:jc w:val="both"/>
        <w:rPr>
          <w:sz w:val="24"/>
          <w:szCs w:val="24"/>
        </w:rPr>
      </w:pPr>
      <w:r w:rsidRPr="000640FC">
        <w:rPr>
          <w:b/>
          <w:sz w:val="24"/>
          <w:szCs w:val="24"/>
        </w:rPr>
        <w:t>2.  Administrative Complaints under Title VI Regulations.</w:t>
      </w:r>
      <w:r>
        <w:rPr>
          <w:sz w:val="24"/>
          <w:szCs w:val="24"/>
        </w:rPr>
        <w:t xml:space="preserve">  This section reviews the specific regulations that the EPA is supposed to follow when it receives an administrative complaint under Title VI.  As students can see here, the Title VI regulations are very detailed and specific.  Historically, however, these regulations have been honored by EPA more in the breach, and they have never resulted in a formal decision and remedy in favor of EJ complainants.  Nevertheless, by the end of this section and the next, students should perceive how Title VI complaints today may remain a viable force for addressing cases of environmental injustice in certain circumstances.</w:t>
      </w:r>
    </w:p>
    <w:p w14:paraId="266935E5" w14:textId="77777777" w:rsidR="0070589C" w:rsidRDefault="0070589C" w:rsidP="0070589C">
      <w:pPr>
        <w:ind w:firstLine="720"/>
        <w:rPr>
          <w:sz w:val="24"/>
          <w:szCs w:val="24"/>
        </w:rPr>
      </w:pPr>
    </w:p>
    <w:p w14:paraId="2D454C0A" w14:textId="77777777" w:rsidR="0070589C" w:rsidRPr="004F3CA0" w:rsidRDefault="0070589C" w:rsidP="0070589C">
      <w:pPr>
        <w:jc w:val="center"/>
        <w:rPr>
          <w:b/>
          <w:sz w:val="24"/>
          <w:szCs w:val="24"/>
        </w:rPr>
      </w:pPr>
      <w:r w:rsidRPr="004F3CA0">
        <w:rPr>
          <w:b/>
          <w:sz w:val="24"/>
          <w:szCs w:val="24"/>
        </w:rPr>
        <w:t xml:space="preserve">The </w:t>
      </w:r>
      <w:r w:rsidRPr="004F3CA0">
        <w:rPr>
          <w:b/>
          <w:i/>
          <w:sz w:val="24"/>
          <w:szCs w:val="24"/>
        </w:rPr>
        <w:t>Select Steel</w:t>
      </w:r>
      <w:r w:rsidRPr="004F3CA0">
        <w:rPr>
          <w:b/>
          <w:sz w:val="24"/>
          <w:szCs w:val="24"/>
        </w:rPr>
        <w:t xml:space="preserve"> Administrative Decision (1988)</w:t>
      </w:r>
    </w:p>
    <w:p w14:paraId="5682D7CD" w14:textId="77777777" w:rsidR="0070589C" w:rsidRDefault="0070589C" w:rsidP="0070589C">
      <w:pPr>
        <w:ind w:firstLine="720"/>
        <w:rPr>
          <w:sz w:val="24"/>
          <w:szCs w:val="24"/>
        </w:rPr>
      </w:pPr>
    </w:p>
    <w:p w14:paraId="749DA7D7" w14:textId="77777777" w:rsidR="0070589C" w:rsidRDefault="0070589C" w:rsidP="0070589C">
      <w:pPr>
        <w:ind w:right="540" w:firstLine="720"/>
        <w:jc w:val="both"/>
        <w:rPr>
          <w:sz w:val="24"/>
          <w:szCs w:val="24"/>
        </w:rPr>
      </w:pPr>
      <w:r>
        <w:rPr>
          <w:sz w:val="24"/>
          <w:szCs w:val="24"/>
        </w:rPr>
        <w:t xml:space="preserve">Among the canon of legal failures to address environmental injustice, the </w:t>
      </w:r>
      <w:r w:rsidRPr="004F3CA0">
        <w:rPr>
          <w:i/>
          <w:sz w:val="24"/>
          <w:szCs w:val="24"/>
        </w:rPr>
        <w:t>Select Steel</w:t>
      </w:r>
      <w:r>
        <w:rPr>
          <w:sz w:val="24"/>
          <w:szCs w:val="24"/>
        </w:rPr>
        <w:t xml:space="preserve"> decision is perhaps the most infamous, in part because the decision was demonstrably wrong on both the applicable facts and the law, and in part because this decision by the EPA reflected grave errors that often must be identified and challenged even to this day.  Let’s skip right to the critiques that follow the excerpt….</w:t>
      </w:r>
    </w:p>
    <w:p w14:paraId="5F3CD12C" w14:textId="77777777" w:rsidR="0070589C" w:rsidRDefault="0070589C" w:rsidP="0070589C">
      <w:pPr>
        <w:ind w:firstLine="720"/>
        <w:rPr>
          <w:sz w:val="24"/>
          <w:szCs w:val="24"/>
        </w:rPr>
      </w:pPr>
    </w:p>
    <w:p w14:paraId="3B317EBE" w14:textId="77777777" w:rsidR="0070589C" w:rsidRPr="00F97A10" w:rsidRDefault="0070589C" w:rsidP="0070589C">
      <w:pPr>
        <w:jc w:val="center"/>
        <w:rPr>
          <w:b/>
          <w:i/>
          <w:sz w:val="28"/>
          <w:szCs w:val="28"/>
        </w:rPr>
      </w:pPr>
      <w:r w:rsidRPr="00F97A10">
        <w:rPr>
          <w:b/>
          <w:i/>
          <w:sz w:val="28"/>
          <w:szCs w:val="28"/>
        </w:rPr>
        <w:t>Notes and Questions</w:t>
      </w:r>
    </w:p>
    <w:p w14:paraId="74D81F3A" w14:textId="77777777" w:rsidR="0070589C" w:rsidRDefault="0070589C" w:rsidP="0070589C">
      <w:pPr>
        <w:rPr>
          <w:sz w:val="24"/>
          <w:szCs w:val="24"/>
        </w:rPr>
      </w:pPr>
    </w:p>
    <w:p w14:paraId="2232FCF7" w14:textId="77777777" w:rsidR="0070589C" w:rsidRDefault="0070589C" w:rsidP="0070589C">
      <w:pPr>
        <w:ind w:right="540" w:firstLine="720"/>
        <w:jc w:val="both"/>
        <w:rPr>
          <w:sz w:val="24"/>
          <w:szCs w:val="24"/>
        </w:rPr>
      </w:pPr>
      <w:r w:rsidRPr="00F97A10">
        <w:rPr>
          <w:b/>
          <w:sz w:val="24"/>
          <w:szCs w:val="24"/>
        </w:rPr>
        <w:t>1.  Wrongly decided.</w:t>
      </w:r>
      <w:r w:rsidRPr="00F97A10">
        <w:rPr>
          <w:sz w:val="24"/>
          <w:szCs w:val="24"/>
        </w:rPr>
        <w:t xml:space="preserve">  </w:t>
      </w:r>
      <w:r>
        <w:rPr>
          <w:sz w:val="24"/>
          <w:szCs w:val="24"/>
        </w:rPr>
        <w:t xml:space="preserve">As this note demonstrates, EPA’s decision in this case was wrong on both the law and the facts surrounding a key question:  whether or not Genesee County was in “attainment” for ozone at the time that the State of Michigan approved the air permit for the proposed steel mill on the edge of Flint, Michigan.  As a matter of law, Genesee County was not in attainment for ozone, as the formal designation in 1978 had not been changed by administrative process.  Genesee County was also not in attainment for ozone as a matter of fact, as confirmed by air monitoring in the weeks before and after the permitting decision.  </w:t>
      </w:r>
    </w:p>
    <w:p w14:paraId="191F642D" w14:textId="77777777" w:rsidR="0070589C" w:rsidRDefault="0070589C" w:rsidP="0070589C">
      <w:pPr>
        <w:ind w:firstLine="720"/>
        <w:jc w:val="both"/>
        <w:rPr>
          <w:sz w:val="24"/>
          <w:szCs w:val="24"/>
        </w:rPr>
      </w:pPr>
    </w:p>
    <w:p w14:paraId="6452E105" w14:textId="77777777" w:rsidR="0070589C" w:rsidRDefault="0070589C" w:rsidP="0070589C">
      <w:pPr>
        <w:ind w:right="540"/>
        <w:jc w:val="both"/>
        <w:rPr>
          <w:sz w:val="24"/>
          <w:szCs w:val="24"/>
        </w:rPr>
      </w:pPr>
      <w:r>
        <w:rPr>
          <w:sz w:val="24"/>
          <w:szCs w:val="24"/>
        </w:rPr>
        <w:tab/>
      </w:r>
      <w:r w:rsidRPr="000725B8">
        <w:rPr>
          <w:b/>
          <w:sz w:val="24"/>
          <w:szCs w:val="24"/>
        </w:rPr>
        <w:t xml:space="preserve">2.  Wrong – and </w:t>
      </w:r>
      <w:r w:rsidRPr="000725B8">
        <w:rPr>
          <w:b/>
          <w:i/>
          <w:sz w:val="24"/>
          <w:szCs w:val="24"/>
        </w:rPr>
        <w:t>wronger</w:t>
      </w:r>
      <w:r w:rsidRPr="000725B8">
        <w:rPr>
          <w:b/>
          <w:sz w:val="24"/>
          <w:szCs w:val="24"/>
        </w:rPr>
        <w:t>.</w:t>
      </w:r>
      <w:r>
        <w:rPr>
          <w:sz w:val="24"/>
          <w:szCs w:val="24"/>
        </w:rPr>
        <w:t xml:space="preserve">  Perhaps more problematic than EPA’s factual and legal errors on ozone attainment was EPA’s assumption that compliance with the ozone standard in Genesee County would ensure that the proposed steel mill would pose no threat to public </w:t>
      </w:r>
      <w:r>
        <w:rPr>
          <w:sz w:val="24"/>
          <w:szCs w:val="24"/>
        </w:rPr>
        <w:lastRenderedPageBreak/>
        <w:t>health in the Flint neighborhood near the facility. This assumption was wrong on at least three counts:</w:t>
      </w:r>
    </w:p>
    <w:p w14:paraId="5A8F7261" w14:textId="77777777" w:rsidR="0070589C" w:rsidRDefault="0070589C" w:rsidP="0070589C">
      <w:pPr>
        <w:jc w:val="both"/>
        <w:rPr>
          <w:sz w:val="24"/>
          <w:szCs w:val="24"/>
        </w:rPr>
      </w:pPr>
    </w:p>
    <w:p w14:paraId="4C23CCDA" w14:textId="77777777" w:rsidR="0070589C" w:rsidRDefault="0070589C" w:rsidP="0070589C">
      <w:pPr>
        <w:ind w:left="720" w:right="828"/>
        <w:jc w:val="both"/>
        <w:rPr>
          <w:sz w:val="24"/>
          <w:szCs w:val="24"/>
        </w:rPr>
      </w:pPr>
      <w:r>
        <w:rPr>
          <w:sz w:val="24"/>
          <w:szCs w:val="24"/>
        </w:rPr>
        <w:t xml:space="preserve">(1) attainment of an air quality standard county-wide may have no relation to the air quality in a discrete neighborhood; </w:t>
      </w:r>
    </w:p>
    <w:p w14:paraId="1476AA54" w14:textId="77777777" w:rsidR="0070589C" w:rsidRDefault="0070589C" w:rsidP="0070589C">
      <w:pPr>
        <w:ind w:left="720" w:right="828"/>
        <w:jc w:val="both"/>
        <w:rPr>
          <w:sz w:val="24"/>
          <w:szCs w:val="24"/>
        </w:rPr>
      </w:pPr>
      <w:r>
        <w:rPr>
          <w:sz w:val="24"/>
          <w:szCs w:val="24"/>
        </w:rPr>
        <w:t xml:space="preserve">(2) the standard then in place for ozone was </w:t>
      </w:r>
      <w:r w:rsidRPr="006C6410">
        <w:rPr>
          <w:i/>
          <w:sz w:val="24"/>
          <w:szCs w:val="24"/>
        </w:rPr>
        <w:t>not</w:t>
      </w:r>
      <w:r>
        <w:rPr>
          <w:sz w:val="24"/>
          <w:szCs w:val="24"/>
        </w:rPr>
        <w:t xml:space="preserve">, in fact, protective of public health, but has required strengthening over time; and </w:t>
      </w:r>
    </w:p>
    <w:p w14:paraId="277117E8" w14:textId="77777777" w:rsidR="0070589C" w:rsidRDefault="0070589C" w:rsidP="0070589C">
      <w:pPr>
        <w:ind w:left="720" w:right="828"/>
        <w:jc w:val="both"/>
        <w:rPr>
          <w:sz w:val="24"/>
          <w:szCs w:val="24"/>
        </w:rPr>
      </w:pPr>
      <w:r>
        <w:rPr>
          <w:sz w:val="24"/>
          <w:szCs w:val="24"/>
        </w:rPr>
        <w:t xml:space="preserve">(3) ozone is just one of many air pollutants that should have been considered carefully.  </w:t>
      </w:r>
    </w:p>
    <w:p w14:paraId="38AEEC62" w14:textId="77777777" w:rsidR="0070589C" w:rsidRDefault="0070589C" w:rsidP="0070589C">
      <w:pPr>
        <w:jc w:val="both"/>
        <w:rPr>
          <w:sz w:val="24"/>
          <w:szCs w:val="24"/>
        </w:rPr>
      </w:pPr>
    </w:p>
    <w:p w14:paraId="29AF41EC" w14:textId="77777777" w:rsidR="0070589C" w:rsidRDefault="0070589C" w:rsidP="0070589C">
      <w:pPr>
        <w:ind w:right="540"/>
        <w:jc w:val="both"/>
        <w:rPr>
          <w:sz w:val="24"/>
          <w:szCs w:val="24"/>
        </w:rPr>
      </w:pPr>
      <w:r>
        <w:rPr>
          <w:sz w:val="24"/>
          <w:szCs w:val="24"/>
        </w:rPr>
        <w:t>Unfortunately, these are mistakes that EPA, state agencies, and other public and private parties continue to make today, requiring constant vigilance and correction by EJ advocates.</w:t>
      </w:r>
    </w:p>
    <w:p w14:paraId="4380B7CD" w14:textId="77777777" w:rsidR="0070589C" w:rsidRDefault="0070589C" w:rsidP="0070589C">
      <w:pPr>
        <w:jc w:val="both"/>
        <w:rPr>
          <w:sz w:val="24"/>
          <w:szCs w:val="24"/>
        </w:rPr>
      </w:pPr>
    </w:p>
    <w:p w14:paraId="3C180EBC" w14:textId="77777777" w:rsidR="0070589C" w:rsidRDefault="0070589C" w:rsidP="0070589C">
      <w:pPr>
        <w:ind w:right="540"/>
        <w:jc w:val="both"/>
        <w:rPr>
          <w:sz w:val="24"/>
          <w:szCs w:val="24"/>
        </w:rPr>
      </w:pPr>
      <w:r>
        <w:rPr>
          <w:sz w:val="24"/>
          <w:szCs w:val="24"/>
        </w:rPr>
        <w:tab/>
        <w:t xml:space="preserve"> </w:t>
      </w:r>
      <w:r>
        <w:rPr>
          <w:b/>
          <w:sz w:val="24"/>
          <w:szCs w:val="24"/>
        </w:rPr>
        <w:t>3</w:t>
      </w:r>
      <w:r w:rsidRPr="006C6410">
        <w:rPr>
          <w:b/>
          <w:sz w:val="24"/>
          <w:szCs w:val="24"/>
        </w:rPr>
        <w:t>. Procedural justice.</w:t>
      </w:r>
      <w:r>
        <w:rPr>
          <w:sz w:val="24"/>
          <w:szCs w:val="24"/>
        </w:rPr>
        <w:t xml:space="preserve">  In addition to all the substantive errors, the </w:t>
      </w:r>
      <w:r w:rsidRPr="006C6410">
        <w:rPr>
          <w:i/>
          <w:sz w:val="24"/>
          <w:szCs w:val="24"/>
        </w:rPr>
        <w:t>Select Steel</w:t>
      </w:r>
      <w:r>
        <w:rPr>
          <w:sz w:val="24"/>
          <w:szCs w:val="24"/>
        </w:rPr>
        <w:t xml:space="preserve"> decision is also a failure of procedural justice.  The note here helps to identify some of these failures.  After your discussion of procedural justice in Chapter 1, students should be able to suggest many ways that the EPA or State could have done better in this case.</w:t>
      </w:r>
    </w:p>
    <w:p w14:paraId="01FA2548" w14:textId="77777777" w:rsidR="0070589C" w:rsidRDefault="0070589C" w:rsidP="0070589C">
      <w:pPr>
        <w:jc w:val="both"/>
        <w:rPr>
          <w:sz w:val="24"/>
          <w:szCs w:val="24"/>
        </w:rPr>
      </w:pPr>
    </w:p>
    <w:p w14:paraId="7474EC9B" w14:textId="77777777" w:rsidR="0070589C" w:rsidRDefault="0070589C" w:rsidP="0070589C">
      <w:pPr>
        <w:ind w:right="540"/>
        <w:jc w:val="both"/>
        <w:rPr>
          <w:sz w:val="24"/>
          <w:szCs w:val="24"/>
        </w:rPr>
      </w:pPr>
      <w:r>
        <w:rPr>
          <w:sz w:val="24"/>
          <w:szCs w:val="24"/>
        </w:rPr>
        <w:tab/>
      </w:r>
      <w:r w:rsidRPr="006C6410">
        <w:rPr>
          <w:b/>
          <w:sz w:val="24"/>
          <w:szCs w:val="24"/>
        </w:rPr>
        <w:t>4.  Epilogue.</w:t>
      </w:r>
      <w:r>
        <w:rPr>
          <w:sz w:val="24"/>
          <w:szCs w:val="24"/>
        </w:rPr>
        <w:t xml:space="preserve">   Despite all the errors by EPA and the State in the Select Steel permitting decision, the facility was never built, perhaps due in part to the vocal community opposition led by Fr. Phil Schmitter.  An earlier Title VI complaint by Fr. Schmitter, filed in 1992, resulted in a response from EPA 25 years later, reprinted in the book starting at page 148.</w:t>
      </w:r>
    </w:p>
    <w:p w14:paraId="44A5F205" w14:textId="77777777" w:rsidR="0070589C" w:rsidRDefault="0070589C" w:rsidP="0070589C">
      <w:pPr>
        <w:jc w:val="both"/>
        <w:rPr>
          <w:sz w:val="24"/>
          <w:szCs w:val="24"/>
        </w:rPr>
      </w:pPr>
    </w:p>
    <w:p w14:paraId="2D427007" w14:textId="77777777" w:rsidR="0070589C" w:rsidRPr="00CB303C" w:rsidRDefault="0070589C" w:rsidP="0070589C">
      <w:pPr>
        <w:jc w:val="center"/>
        <w:rPr>
          <w:b/>
          <w:sz w:val="28"/>
          <w:szCs w:val="28"/>
        </w:rPr>
      </w:pPr>
      <w:r w:rsidRPr="00CB303C">
        <w:rPr>
          <w:b/>
          <w:sz w:val="28"/>
          <w:szCs w:val="28"/>
        </w:rPr>
        <w:t>EPA letter to Father Phil Schmitter (Jan. 19, 2017)</w:t>
      </w:r>
    </w:p>
    <w:p w14:paraId="68D07796" w14:textId="77777777" w:rsidR="0070589C" w:rsidRDefault="0070589C" w:rsidP="0070589C">
      <w:pPr>
        <w:rPr>
          <w:b/>
          <w:sz w:val="24"/>
          <w:szCs w:val="24"/>
        </w:rPr>
      </w:pPr>
    </w:p>
    <w:p w14:paraId="2088946E" w14:textId="77777777" w:rsidR="0070589C" w:rsidRDefault="0070589C" w:rsidP="0070589C">
      <w:pPr>
        <w:ind w:right="540"/>
        <w:jc w:val="both"/>
        <w:rPr>
          <w:sz w:val="24"/>
          <w:szCs w:val="24"/>
        </w:rPr>
      </w:pPr>
      <w:r>
        <w:rPr>
          <w:b/>
          <w:sz w:val="24"/>
          <w:szCs w:val="24"/>
        </w:rPr>
        <w:tab/>
      </w:r>
      <w:r>
        <w:rPr>
          <w:sz w:val="24"/>
          <w:szCs w:val="24"/>
        </w:rPr>
        <w:t>In the history of EPA’s Title VI program, this letter to Father Phil Schmitter stands almost alone in its finding of race discrimination by a state agency in the administration of its environmental programs.  Note that the letter, dated Jan. 19, 2017, documents specific discriminatory actions by the State of Michigan on December 1, 1992, and October 20, 1994.</w:t>
      </w:r>
    </w:p>
    <w:p w14:paraId="32B2F8C2" w14:textId="77777777" w:rsidR="0070589C" w:rsidRDefault="0070589C" w:rsidP="0070589C">
      <w:pPr>
        <w:widowControl/>
        <w:autoSpaceDE/>
        <w:autoSpaceDN/>
        <w:adjustRightInd/>
        <w:spacing w:after="160" w:line="259" w:lineRule="auto"/>
        <w:rPr>
          <w:b/>
          <w:i/>
          <w:sz w:val="28"/>
          <w:szCs w:val="28"/>
        </w:rPr>
      </w:pPr>
    </w:p>
    <w:p w14:paraId="16FDF82E" w14:textId="77777777" w:rsidR="0070589C" w:rsidRPr="007C33B3" w:rsidRDefault="0070589C" w:rsidP="0070589C">
      <w:pPr>
        <w:jc w:val="center"/>
        <w:rPr>
          <w:b/>
          <w:i/>
          <w:sz w:val="28"/>
          <w:szCs w:val="28"/>
        </w:rPr>
      </w:pPr>
      <w:r w:rsidRPr="007C33B3">
        <w:rPr>
          <w:b/>
          <w:i/>
          <w:sz w:val="28"/>
          <w:szCs w:val="28"/>
        </w:rPr>
        <w:t>Notes and Questions</w:t>
      </w:r>
    </w:p>
    <w:p w14:paraId="2826BE0D" w14:textId="77777777" w:rsidR="0070589C" w:rsidRDefault="0070589C" w:rsidP="0070589C">
      <w:pPr>
        <w:jc w:val="both"/>
        <w:rPr>
          <w:sz w:val="24"/>
          <w:szCs w:val="24"/>
        </w:rPr>
      </w:pPr>
    </w:p>
    <w:p w14:paraId="7155BB2E" w14:textId="77777777" w:rsidR="0070589C" w:rsidRDefault="0070589C" w:rsidP="0070589C">
      <w:pPr>
        <w:jc w:val="both"/>
        <w:rPr>
          <w:b/>
          <w:sz w:val="24"/>
          <w:szCs w:val="24"/>
        </w:rPr>
      </w:pPr>
    </w:p>
    <w:p w14:paraId="00FAD857" w14:textId="77777777" w:rsidR="0070589C" w:rsidRDefault="0070589C" w:rsidP="0070589C">
      <w:pPr>
        <w:ind w:right="540"/>
        <w:jc w:val="both"/>
        <w:rPr>
          <w:sz w:val="24"/>
          <w:szCs w:val="24"/>
        </w:rPr>
      </w:pPr>
      <w:r>
        <w:rPr>
          <w:b/>
          <w:sz w:val="24"/>
          <w:szCs w:val="24"/>
        </w:rPr>
        <w:tab/>
        <w:t xml:space="preserve">1.  Race discrimination.  </w:t>
      </w:r>
      <w:r>
        <w:rPr>
          <w:sz w:val="24"/>
          <w:szCs w:val="24"/>
        </w:rPr>
        <w:t>In its 2017 letter, the EPA finds that the State of Michigan discriminated against African-Americans by (1) refusing requests by African-Americans to speak out of order at the hearing on December 1, 1992, when such requests by white speakers were granted; (2) refusing to postpone or extend the comment period for Dec. 1992 hearing; (3) intimidating African-American speakers with uniformed state officers at the October 1994 hearing; and (4) failing to allow all commenters at the October 1994 hearing to speak before the hearing was adjourned.</w:t>
      </w:r>
    </w:p>
    <w:p w14:paraId="324A2233" w14:textId="77777777" w:rsidR="0070589C" w:rsidRDefault="0070589C" w:rsidP="0070589C">
      <w:pPr>
        <w:jc w:val="both"/>
        <w:rPr>
          <w:sz w:val="24"/>
          <w:szCs w:val="24"/>
        </w:rPr>
      </w:pPr>
    </w:p>
    <w:p w14:paraId="610ED8E4" w14:textId="77777777" w:rsidR="0070589C" w:rsidRDefault="0070589C" w:rsidP="0070589C">
      <w:pPr>
        <w:ind w:right="540"/>
        <w:jc w:val="both"/>
        <w:rPr>
          <w:sz w:val="24"/>
          <w:szCs w:val="24"/>
        </w:rPr>
      </w:pPr>
      <w:r>
        <w:rPr>
          <w:sz w:val="24"/>
          <w:szCs w:val="24"/>
        </w:rPr>
        <w:tab/>
        <w:t xml:space="preserve">To avoid these findings of discrimination, legal counsel for the state might have advised (1) granting requests to extend the respective comment periods; (2) allowing each hearing to continue until all commenters had an opportunity to speak; (3) scheduling </w:t>
      </w:r>
      <w:r>
        <w:rPr>
          <w:sz w:val="24"/>
          <w:szCs w:val="24"/>
        </w:rPr>
        <w:lastRenderedPageBreak/>
        <w:t xml:space="preserve">additional hearings; (4) avoiding special accommodations for white speakers; and (5) maintaining crowd control or security through local law enforcement, plain clothes security, or trained volunteers from the community itself.  </w:t>
      </w:r>
    </w:p>
    <w:p w14:paraId="11A38A6B" w14:textId="77777777" w:rsidR="0070589C" w:rsidRDefault="0070589C" w:rsidP="0070589C">
      <w:pPr>
        <w:jc w:val="both"/>
        <w:rPr>
          <w:sz w:val="24"/>
          <w:szCs w:val="24"/>
        </w:rPr>
      </w:pPr>
    </w:p>
    <w:p w14:paraId="4A01F619" w14:textId="77777777" w:rsidR="0070589C" w:rsidRDefault="0070589C" w:rsidP="0070589C">
      <w:pPr>
        <w:ind w:right="540"/>
        <w:jc w:val="both"/>
        <w:rPr>
          <w:sz w:val="24"/>
          <w:szCs w:val="24"/>
        </w:rPr>
      </w:pPr>
      <w:r>
        <w:rPr>
          <w:sz w:val="24"/>
          <w:szCs w:val="24"/>
        </w:rPr>
        <w:tab/>
      </w:r>
      <w:r w:rsidRPr="003554E8">
        <w:rPr>
          <w:b/>
          <w:sz w:val="24"/>
          <w:szCs w:val="24"/>
        </w:rPr>
        <w:t>2.  Finally getting it right?</w:t>
      </w:r>
      <w:r>
        <w:rPr>
          <w:sz w:val="24"/>
          <w:szCs w:val="24"/>
        </w:rPr>
        <w:t xml:space="preserve">  After 25 years and still failing to levy any legal consequences for a finding of race discrimination, the 2017 letter to Farther Schmitter can hardly be held up as a model of justice.  But perhaps there is some value in vindication of the community’s rights.  There may also be some testament to the value of maintaining a detailed administrative record.  It is also possible, as suggested in the note, that this decision by EPA in 2017 was better reflective of at least procedural justice than EPA’s decision in </w:t>
      </w:r>
      <w:r w:rsidRPr="00E372AC">
        <w:rPr>
          <w:i/>
          <w:sz w:val="24"/>
          <w:szCs w:val="24"/>
        </w:rPr>
        <w:t>Select Steel</w:t>
      </w:r>
      <w:r>
        <w:rPr>
          <w:sz w:val="24"/>
          <w:szCs w:val="24"/>
        </w:rPr>
        <w:t xml:space="preserve"> nearly 20 years earlier.  By 2017, EPA had at least learned that meaningful community involvement could not be assured by newspaper notices alone or reliance of the voluntary actions of one religious leader.  In 2017, EPA also appeared less deferential to the Michigan Department of Environmental Quality – a hard lesson that EPA may have learned from the spectacular failure of MDEQ in 2014 to protect Flint residents from lead contamination of their drinking water.  </w:t>
      </w:r>
    </w:p>
    <w:p w14:paraId="484B0502" w14:textId="77777777" w:rsidR="0070589C" w:rsidRDefault="0070589C" w:rsidP="0070589C">
      <w:pPr>
        <w:jc w:val="center"/>
        <w:rPr>
          <w:sz w:val="24"/>
          <w:szCs w:val="24"/>
        </w:rPr>
      </w:pPr>
    </w:p>
    <w:p w14:paraId="010BF519" w14:textId="77777777" w:rsidR="0070589C" w:rsidRPr="00C13864" w:rsidRDefault="0070589C" w:rsidP="0070589C">
      <w:pPr>
        <w:ind w:right="828"/>
        <w:rPr>
          <w:b/>
          <w:sz w:val="24"/>
          <w:szCs w:val="24"/>
        </w:rPr>
      </w:pPr>
      <w:r w:rsidRPr="00C13864">
        <w:rPr>
          <w:b/>
          <w:sz w:val="24"/>
          <w:szCs w:val="24"/>
        </w:rPr>
        <w:t>3.  Reform and Modern Practice in Title VI Enforcement.</w:t>
      </w:r>
    </w:p>
    <w:p w14:paraId="42C66B9E" w14:textId="77777777" w:rsidR="0070589C" w:rsidRPr="00A871DC" w:rsidRDefault="0070589C" w:rsidP="0070589C">
      <w:pPr>
        <w:ind w:right="828"/>
        <w:rPr>
          <w:sz w:val="28"/>
          <w:szCs w:val="28"/>
        </w:rPr>
      </w:pPr>
    </w:p>
    <w:p w14:paraId="511B5454" w14:textId="77777777" w:rsidR="0070589C" w:rsidRDefault="0070589C" w:rsidP="0070589C">
      <w:pPr>
        <w:ind w:right="540" w:firstLine="720"/>
        <w:jc w:val="both"/>
        <w:rPr>
          <w:sz w:val="24"/>
          <w:szCs w:val="24"/>
        </w:rPr>
      </w:pPr>
      <w:r>
        <w:rPr>
          <w:sz w:val="24"/>
          <w:szCs w:val="24"/>
        </w:rPr>
        <w:t xml:space="preserve">After so much dismal history of enforcement, this section suggests why some practitioners continue to consider Title VI a valuable tool for pursuing environmental justice in certain circumstances.  A point to emphasize with law students (who may be accustomed to reading appellate cases in other courses) is that most progress toward environmental justice does not happen as a result of judicial decisions.  Most progress happens because of negotiations and settlements.  </w:t>
      </w:r>
    </w:p>
    <w:p w14:paraId="207F0E35" w14:textId="77777777" w:rsidR="0070589C" w:rsidRDefault="0070589C" w:rsidP="0070589C">
      <w:pPr>
        <w:jc w:val="both"/>
        <w:rPr>
          <w:sz w:val="24"/>
          <w:szCs w:val="24"/>
        </w:rPr>
      </w:pPr>
    </w:p>
    <w:p w14:paraId="4550CC1D" w14:textId="77777777" w:rsidR="0070589C" w:rsidRPr="000706C1" w:rsidRDefault="0070589C" w:rsidP="0070589C">
      <w:pPr>
        <w:jc w:val="center"/>
        <w:rPr>
          <w:b/>
          <w:i/>
          <w:sz w:val="28"/>
          <w:szCs w:val="28"/>
        </w:rPr>
      </w:pPr>
      <w:r w:rsidRPr="000706C1">
        <w:rPr>
          <w:b/>
          <w:i/>
          <w:sz w:val="28"/>
          <w:szCs w:val="28"/>
        </w:rPr>
        <w:t>Notes and Questions</w:t>
      </w:r>
    </w:p>
    <w:p w14:paraId="47B34B9A" w14:textId="77777777" w:rsidR="0070589C" w:rsidRDefault="0070589C" w:rsidP="0070589C">
      <w:pPr>
        <w:ind w:firstLine="720"/>
        <w:jc w:val="both"/>
        <w:rPr>
          <w:sz w:val="24"/>
          <w:szCs w:val="24"/>
        </w:rPr>
      </w:pPr>
    </w:p>
    <w:p w14:paraId="44682F55" w14:textId="77777777" w:rsidR="0070589C" w:rsidRDefault="0070589C" w:rsidP="0070589C">
      <w:pPr>
        <w:ind w:right="540" w:firstLine="720"/>
        <w:jc w:val="both"/>
        <w:rPr>
          <w:sz w:val="24"/>
          <w:szCs w:val="24"/>
        </w:rPr>
      </w:pPr>
      <w:r w:rsidRPr="000706C1">
        <w:rPr>
          <w:b/>
          <w:sz w:val="24"/>
          <w:szCs w:val="24"/>
        </w:rPr>
        <w:t>1.  Message delivered?</w:t>
      </w:r>
      <w:r>
        <w:rPr>
          <w:sz w:val="24"/>
          <w:szCs w:val="24"/>
        </w:rPr>
        <w:t xml:space="preserve">  The string of judicial losses by EPA recounted on pages 154-155 does seem to have motivated EPA and states to pay more attention to Title VI regulations – and thus pay more respect to Title VI complaints.  As such, Title VI practitioners today may no longer need to prepare civil litigation against EPA every time they file an administrative complaint under Title VI.  In fact, the principal value of filing a Title VI complaint today may be to compel negotiations that give affected communities a seat at the table in determining policy to address local environmental problems.  </w:t>
      </w:r>
    </w:p>
    <w:p w14:paraId="6BECA84B" w14:textId="77777777" w:rsidR="0070589C" w:rsidRDefault="0070589C" w:rsidP="0070589C">
      <w:pPr>
        <w:jc w:val="both"/>
        <w:rPr>
          <w:sz w:val="24"/>
          <w:szCs w:val="24"/>
        </w:rPr>
      </w:pPr>
    </w:p>
    <w:p w14:paraId="71012BF8" w14:textId="77777777" w:rsidR="0070589C" w:rsidRDefault="0070589C" w:rsidP="0070589C">
      <w:pPr>
        <w:ind w:right="540"/>
        <w:jc w:val="both"/>
        <w:rPr>
          <w:sz w:val="24"/>
          <w:szCs w:val="24"/>
        </w:rPr>
      </w:pPr>
      <w:r>
        <w:rPr>
          <w:sz w:val="24"/>
          <w:szCs w:val="24"/>
        </w:rPr>
        <w:tab/>
      </w:r>
      <w:r w:rsidRPr="00D92EC9">
        <w:rPr>
          <w:b/>
          <w:sz w:val="24"/>
          <w:szCs w:val="24"/>
        </w:rPr>
        <w:t>2.  Progress on the ground?</w:t>
      </w:r>
      <w:r>
        <w:rPr>
          <w:sz w:val="24"/>
          <w:szCs w:val="24"/>
        </w:rPr>
        <w:t xml:space="preserve">  This note demonstrates the incremental progress possible through Title VI actions, discussing one case in New Mexico and another case in North Carolina.  Both cases resulted in settlement agreements where the respective state agencies agreed to take specific measures to address concerns for environmental injustice.  Concerns addressed in each settlement include state failures to ensure opportunities for meaningful public involvement, including involvement by Limited English Proficiency segments of the local populations. </w:t>
      </w:r>
    </w:p>
    <w:p w14:paraId="5500CA7E" w14:textId="77777777" w:rsidR="0070589C" w:rsidRDefault="0070589C" w:rsidP="0070589C">
      <w:pPr>
        <w:rPr>
          <w:sz w:val="24"/>
          <w:szCs w:val="24"/>
        </w:rPr>
      </w:pPr>
    </w:p>
    <w:p w14:paraId="1A65384A" w14:textId="77777777" w:rsidR="0070589C" w:rsidRPr="00C13864" w:rsidRDefault="0070589C" w:rsidP="0070589C">
      <w:pPr>
        <w:rPr>
          <w:b/>
          <w:sz w:val="24"/>
          <w:szCs w:val="24"/>
        </w:rPr>
      </w:pPr>
      <w:r w:rsidRPr="00C13864">
        <w:rPr>
          <w:b/>
          <w:sz w:val="24"/>
          <w:szCs w:val="24"/>
        </w:rPr>
        <w:t>E.  Seeking Environmental Justice through § 1983.</w:t>
      </w:r>
    </w:p>
    <w:p w14:paraId="382D33AB" w14:textId="77777777" w:rsidR="0070589C" w:rsidRDefault="0070589C" w:rsidP="0070589C">
      <w:pPr>
        <w:rPr>
          <w:sz w:val="24"/>
          <w:szCs w:val="24"/>
        </w:rPr>
      </w:pPr>
    </w:p>
    <w:p w14:paraId="3923F738" w14:textId="77777777" w:rsidR="0070589C" w:rsidRDefault="0070589C" w:rsidP="0070589C">
      <w:pPr>
        <w:ind w:right="540"/>
        <w:jc w:val="both"/>
        <w:rPr>
          <w:sz w:val="24"/>
          <w:szCs w:val="24"/>
        </w:rPr>
      </w:pPr>
      <w:r>
        <w:rPr>
          <w:sz w:val="24"/>
          <w:szCs w:val="24"/>
        </w:rPr>
        <w:lastRenderedPageBreak/>
        <w:tab/>
        <w:t xml:space="preserve">This final part of Chapter 4 introduces Civil Rights Act § 1983 (42 U.S.C. § 1983), which is often the subject of entire casebooks and three-credit courses in law school.  For a quick overview of litigation under § 1983, </w:t>
      </w:r>
      <w:r w:rsidRPr="00FC02FC">
        <w:rPr>
          <w:i/>
          <w:iCs/>
          <w:sz w:val="24"/>
          <w:szCs w:val="24"/>
        </w:rPr>
        <w:t>see</w:t>
      </w:r>
      <w:r>
        <w:rPr>
          <w:sz w:val="24"/>
          <w:szCs w:val="24"/>
        </w:rPr>
        <w:t xml:space="preserve"> James C. Harrington, </w:t>
      </w:r>
      <w:r w:rsidRPr="00FC02FC">
        <w:rPr>
          <w:i/>
          <w:iCs/>
          <w:sz w:val="24"/>
          <w:szCs w:val="24"/>
        </w:rPr>
        <w:t>Civil Rights</w:t>
      </w:r>
      <w:r>
        <w:rPr>
          <w:sz w:val="24"/>
          <w:szCs w:val="24"/>
        </w:rPr>
        <w:t xml:space="preserve">, </w:t>
      </w:r>
      <w:r w:rsidRPr="00FC02FC">
        <w:rPr>
          <w:smallCaps/>
          <w:sz w:val="24"/>
          <w:szCs w:val="24"/>
        </w:rPr>
        <w:t>27 Tex. Tech L. Rev. 615</w:t>
      </w:r>
      <w:r>
        <w:rPr>
          <w:sz w:val="24"/>
          <w:szCs w:val="24"/>
        </w:rPr>
        <w:t xml:space="preserve"> (1996). </w:t>
      </w:r>
      <w:r w:rsidRPr="00FC02FC">
        <w:rPr>
          <w:i/>
          <w:iCs/>
          <w:sz w:val="24"/>
          <w:szCs w:val="24"/>
        </w:rPr>
        <w:t>See also</w:t>
      </w:r>
      <w:r>
        <w:rPr>
          <w:sz w:val="24"/>
          <w:szCs w:val="24"/>
        </w:rPr>
        <w:t xml:space="preserve"> Debora A. Hoehne, </w:t>
      </w:r>
      <w:r w:rsidRPr="00FC02FC">
        <w:rPr>
          <w:i/>
          <w:iCs/>
          <w:sz w:val="24"/>
          <w:szCs w:val="24"/>
        </w:rPr>
        <w:t>Assessing the Compatibility of Title IX and § 1983: A Post-Abrams Framework for Preemption</w:t>
      </w:r>
      <w:r>
        <w:rPr>
          <w:sz w:val="24"/>
          <w:szCs w:val="24"/>
        </w:rPr>
        <w:t xml:space="preserve">, </w:t>
      </w:r>
      <w:r w:rsidRPr="007F639C">
        <w:rPr>
          <w:smallCaps/>
          <w:sz w:val="24"/>
          <w:szCs w:val="24"/>
        </w:rPr>
        <w:t>74 Fordham L. Rev.</w:t>
      </w:r>
      <w:r>
        <w:rPr>
          <w:sz w:val="24"/>
          <w:szCs w:val="24"/>
        </w:rPr>
        <w:t xml:space="preserve"> 3189, 3201 (2006).  § 1983 is a major authority for civil rights lawyers who often use this statute to bring claims for redress on behalf of private parties who have been injured by state actors through deprivation of rights under the U.S. Constitution and federal statutes.  This part demonstrates how § 1983 may be used to address issues of environmental injustice through the particularly tragic context of the Flint drinking water contamination.</w:t>
      </w:r>
    </w:p>
    <w:p w14:paraId="33CFFFDA" w14:textId="77777777" w:rsidR="0070589C" w:rsidRDefault="0070589C" w:rsidP="0070589C">
      <w:pPr>
        <w:jc w:val="both"/>
        <w:rPr>
          <w:sz w:val="24"/>
          <w:szCs w:val="24"/>
        </w:rPr>
      </w:pPr>
    </w:p>
    <w:p w14:paraId="4D97263C" w14:textId="77777777" w:rsidR="0070589C" w:rsidRPr="00C07E26" w:rsidRDefault="0070589C" w:rsidP="0070589C">
      <w:pPr>
        <w:jc w:val="center"/>
        <w:rPr>
          <w:b/>
          <w:sz w:val="24"/>
          <w:szCs w:val="24"/>
        </w:rPr>
      </w:pPr>
      <w:r w:rsidRPr="00C07E26">
        <w:rPr>
          <w:b/>
          <w:sz w:val="24"/>
          <w:szCs w:val="24"/>
        </w:rPr>
        <w:t>Boler v. Earley</w:t>
      </w:r>
    </w:p>
    <w:p w14:paraId="3AA2B60C" w14:textId="77777777" w:rsidR="0070589C" w:rsidRDefault="0070589C" w:rsidP="0070589C">
      <w:pPr>
        <w:jc w:val="both"/>
        <w:rPr>
          <w:sz w:val="24"/>
          <w:szCs w:val="24"/>
        </w:rPr>
      </w:pPr>
    </w:p>
    <w:p w14:paraId="0F2EB391" w14:textId="77777777" w:rsidR="0070589C" w:rsidRDefault="0070589C" w:rsidP="0070589C">
      <w:pPr>
        <w:ind w:right="540"/>
        <w:jc w:val="both"/>
        <w:rPr>
          <w:sz w:val="24"/>
          <w:szCs w:val="24"/>
        </w:rPr>
      </w:pPr>
      <w:r>
        <w:rPr>
          <w:sz w:val="24"/>
          <w:szCs w:val="24"/>
        </w:rPr>
        <w:tab/>
        <w:t>After introducing the Flint drinking water contamination in Chapter 3 (Risk and Health), this case excerpt provides the major legal treatment of this case in this book.  It is one of the longest case excerpts in the book, in part because of the salient factual background and in part because of the complexity of legal issues. The major legal challenge is untangling claims under § 1983 from potential claims under environmental statutes, particularly the Safe Drinking Water Act. Working through these complexities, the case demonstrates why constitutional rights and civil rights litigation remain essential authorities for the pursuit of environmental justice, providing EJ advocates in this case with a rare appellate win.</w:t>
      </w:r>
    </w:p>
    <w:p w14:paraId="0DAB86EA" w14:textId="77777777" w:rsidR="0070589C" w:rsidRDefault="0070589C" w:rsidP="0070589C">
      <w:pPr>
        <w:jc w:val="both"/>
        <w:rPr>
          <w:sz w:val="24"/>
          <w:szCs w:val="24"/>
        </w:rPr>
      </w:pPr>
    </w:p>
    <w:p w14:paraId="08636C31" w14:textId="77777777" w:rsidR="0070589C" w:rsidRPr="006E5F63" w:rsidRDefault="0070589C" w:rsidP="0070589C">
      <w:pPr>
        <w:jc w:val="center"/>
        <w:rPr>
          <w:b/>
          <w:i/>
          <w:sz w:val="28"/>
          <w:szCs w:val="28"/>
        </w:rPr>
      </w:pPr>
      <w:r w:rsidRPr="006E5F63">
        <w:rPr>
          <w:b/>
          <w:i/>
          <w:sz w:val="28"/>
          <w:szCs w:val="28"/>
        </w:rPr>
        <w:t>Notes and Questions</w:t>
      </w:r>
    </w:p>
    <w:p w14:paraId="693A5B94" w14:textId="77777777" w:rsidR="0070589C" w:rsidRDefault="0070589C" w:rsidP="0070589C">
      <w:pPr>
        <w:jc w:val="both"/>
        <w:rPr>
          <w:sz w:val="24"/>
          <w:szCs w:val="24"/>
        </w:rPr>
      </w:pPr>
    </w:p>
    <w:p w14:paraId="7ED83D6A" w14:textId="77777777" w:rsidR="0070589C" w:rsidRDefault="0070589C" w:rsidP="0070589C">
      <w:pPr>
        <w:ind w:right="540" w:firstLine="720"/>
        <w:jc w:val="both"/>
        <w:rPr>
          <w:sz w:val="24"/>
          <w:szCs w:val="24"/>
        </w:rPr>
      </w:pPr>
      <w:r w:rsidRPr="006E5F63">
        <w:rPr>
          <w:b/>
          <w:sz w:val="24"/>
          <w:szCs w:val="24"/>
        </w:rPr>
        <w:t>1.  § 1983 vs. the Safe Drinking Water Act.</w:t>
      </w:r>
      <w:r>
        <w:rPr>
          <w:sz w:val="24"/>
          <w:szCs w:val="24"/>
        </w:rPr>
        <w:t xml:space="preserve">   This first note encourages students to consider the major unstated question in the excerpt:  If the Safe Drinking Water Act applies to this case of unsafe drinking water, and even offers advantages such as a standard of strict liability, then why would the </w:t>
      </w:r>
      <w:r w:rsidRPr="00A23F8D">
        <w:rPr>
          <w:i/>
          <w:sz w:val="24"/>
          <w:szCs w:val="24"/>
        </w:rPr>
        <w:t>Boler</w:t>
      </w:r>
      <w:r>
        <w:rPr>
          <w:sz w:val="24"/>
          <w:szCs w:val="24"/>
        </w:rPr>
        <w:t xml:space="preserve"> plaintiffs work so hard to try to build and maintain a case under § 1983?  The simple answer is one of remedy:  A violation of the SDWA may result in the assessment of civil penalties and injunctive relief to fix the water infrastructure, but would do nothing to compensate the private plaintiffs for personal injuries, medical expenses, lost wages, and all other damages related to the drinking water contamination.  Dismissing the § 1983 claims at the trial court level, the U.S. District Court noted that plaintiffs may still pursue related claims through tort actions in state court.  Many Flint residents did in fact pursue tort actions in state </w:t>
      </w:r>
      <w:r w:rsidRPr="003D133C">
        <w:rPr>
          <w:sz w:val="24"/>
          <w:szCs w:val="24"/>
        </w:rPr>
        <w:t xml:space="preserve">court. </w:t>
      </w:r>
      <w:r w:rsidRPr="002620AB">
        <w:rPr>
          <w:i/>
          <w:iCs/>
          <w:sz w:val="24"/>
          <w:szCs w:val="24"/>
        </w:rPr>
        <w:t>See e.g.</w:t>
      </w:r>
      <w:r>
        <w:rPr>
          <w:sz w:val="24"/>
          <w:szCs w:val="24"/>
        </w:rPr>
        <w:t xml:space="preserve"> </w:t>
      </w:r>
      <w:r w:rsidRPr="00614B68">
        <w:rPr>
          <w:sz w:val="24"/>
          <w:szCs w:val="24"/>
        </w:rPr>
        <w:t>Nappier by Nappier v. Governor, No. 344363, 2019 WL 1211469 (Mich. App. Ct. Mar. 14, 2019).</w:t>
      </w:r>
      <w:r>
        <w:rPr>
          <w:sz w:val="24"/>
          <w:szCs w:val="24"/>
        </w:rPr>
        <w:t xml:space="preserve"> However, § 1983 claims in federal court may still offer advantages over tort claims in state court, including independence from state government in a legal action against state agencies.</w:t>
      </w:r>
    </w:p>
    <w:p w14:paraId="48B906FD" w14:textId="77777777" w:rsidR="0070589C" w:rsidRDefault="0070589C" w:rsidP="0070589C">
      <w:pPr>
        <w:ind w:firstLine="720"/>
        <w:rPr>
          <w:sz w:val="24"/>
          <w:szCs w:val="24"/>
        </w:rPr>
      </w:pPr>
    </w:p>
    <w:p w14:paraId="7D4DFEEF" w14:textId="77777777" w:rsidR="0070589C" w:rsidRDefault="0070589C" w:rsidP="0070589C">
      <w:pPr>
        <w:ind w:right="540" w:firstLine="720"/>
        <w:jc w:val="both"/>
        <w:rPr>
          <w:sz w:val="24"/>
          <w:szCs w:val="24"/>
        </w:rPr>
      </w:pPr>
      <w:r w:rsidRPr="00C37E7E">
        <w:rPr>
          <w:b/>
          <w:sz w:val="24"/>
          <w:szCs w:val="24"/>
        </w:rPr>
        <w:t>2.  Preclusion?</w:t>
      </w:r>
      <w:r>
        <w:rPr>
          <w:sz w:val="24"/>
          <w:szCs w:val="24"/>
        </w:rPr>
        <w:t xml:space="preserve">  The questions here are mostly rhetorical.  In the quotes from the district court, we see again the common error of conflating environmental compliance with environmental protection.  In this case, the district court seems to suggest that citizen suits to enforce the SDWA and compel compliance with “regulations that have been promulgated by the EPA under the SDWA” would fully protect the plaintiffs’ health, even though the </w:t>
      </w:r>
      <w:r w:rsidRPr="00A23F8D">
        <w:rPr>
          <w:i/>
          <w:sz w:val="24"/>
          <w:szCs w:val="24"/>
        </w:rPr>
        <w:t>Boler</w:t>
      </w:r>
      <w:r>
        <w:rPr>
          <w:sz w:val="24"/>
          <w:szCs w:val="24"/>
        </w:rPr>
        <w:t xml:space="preserve"> plaintiffs by that point had been significantly injured by years of exposure to contaminated water.  Moreover, like we saw 20 years earlier with the </w:t>
      </w:r>
      <w:r w:rsidRPr="007903A7">
        <w:rPr>
          <w:i/>
          <w:sz w:val="24"/>
          <w:szCs w:val="24"/>
        </w:rPr>
        <w:t>Select Steel</w:t>
      </w:r>
      <w:r>
        <w:rPr>
          <w:sz w:val="24"/>
          <w:szCs w:val="24"/>
        </w:rPr>
        <w:t xml:space="preserve"> decision </w:t>
      </w:r>
      <w:r>
        <w:rPr>
          <w:sz w:val="24"/>
          <w:szCs w:val="24"/>
        </w:rPr>
        <w:lastRenderedPageBreak/>
        <w:t>from Flint, it was possible that strict compliance with all applicable “regulations promulgated by the EPA” would not have ensured the protection of public health, as these regulations may not have been strict enough or comprehensive enough to address all contaminants to which Flint resident would be exposed from the Flint River or the aging city infrastructure.</w:t>
      </w:r>
    </w:p>
    <w:p w14:paraId="343A0DA9" w14:textId="77777777" w:rsidR="0070589C" w:rsidRDefault="0070589C" w:rsidP="0070589C">
      <w:pPr>
        <w:jc w:val="both"/>
        <w:rPr>
          <w:sz w:val="24"/>
          <w:szCs w:val="24"/>
        </w:rPr>
      </w:pPr>
    </w:p>
    <w:p w14:paraId="322AE988" w14:textId="77777777" w:rsidR="0070589C" w:rsidRDefault="0070589C" w:rsidP="0070589C">
      <w:pPr>
        <w:ind w:right="540"/>
        <w:jc w:val="both"/>
        <w:rPr>
          <w:sz w:val="24"/>
          <w:szCs w:val="24"/>
        </w:rPr>
      </w:pPr>
      <w:r>
        <w:rPr>
          <w:sz w:val="24"/>
          <w:szCs w:val="24"/>
        </w:rPr>
        <w:tab/>
      </w:r>
      <w:r w:rsidRPr="00B47633">
        <w:rPr>
          <w:b/>
          <w:sz w:val="24"/>
          <w:szCs w:val="24"/>
        </w:rPr>
        <w:t xml:space="preserve">3.  </w:t>
      </w:r>
      <w:r w:rsidRPr="00A23F8D">
        <w:rPr>
          <w:b/>
          <w:i/>
          <w:sz w:val="24"/>
          <w:szCs w:val="24"/>
        </w:rPr>
        <w:t>Sea Clammers</w:t>
      </w:r>
      <w:r w:rsidRPr="00B47633">
        <w:rPr>
          <w:b/>
          <w:sz w:val="24"/>
          <w:szCs w:val="24"/>
        </w:rPr>
        <w:t xml:space="preserve"> reconsidered.  </w:t>
      </w:r>
      <w:r>
        <w:rPr>
          <w:sz w:val="24"/>
          <w:szCs w:val="24"/>
        </w:rPr>
        <w:t xml:space="preserve">The Supreme Court’s 1981 decision in </w:t>
      </w:r>
      <w:r w:rsidRPr="00A23F8D">
        <w:rPr>
          <w:i/>
          <w:sz w:val="24"/>
          <w:szCs w:val="24"/>
        </w:rPr>
        <w:t>Sea Clammers</w:t>
      </w:r>
      <w:r>
        <w:rPr>
          <w:sz w:val="24"/>
          <w:szCs w:val="24"/>
        </w:rPr>
        <w:t xml:space="preserve"> was powerful precedent opposing the § 1983 claims by the </w:t>
      </w:r>
      <w:r w:rsidRPr="00A23F8D">
        <w:rPr>
          <w:i/>
          <w:sz w:val="24"/>
          <w:szCs w:val="24"/>
        </w:rPr>
        <w:t>Boler</w:t>
      </w:r>
      <w:r>
        <w:rPr>
          <w:sz w:val="24"/>
          <w:szCs w:val="24"/>
        </w:rPr>
        <w:t xml:space="preserve"> plaintiffs in 2017.  Both cases involved water pollution and an applicable environmental statute:  the Clean Water Act, for </w:t>
      </w:r>
      <w:r w:rsidRPr="00A23F8D">
        <w:rPr>
          <w:i/>
          <w:sz w:val="24"/>
          <w:szCs w:val="24"/>
        </w:rPr>
        <w:t>Sea Clammers</w:t>
      </w:r>
      <w:r>
        <w:rPr>
          <w:sz w:val="24"/>
          <w:szCs w:val="24"/>
        </w:rPr>
        <w:t xml:space="preserve">, and the Safe Drinking Water Act, for </w:t>
      </w:r>
      <w:r w:rsidRPr="00A23F8D">
        <w:rPr>
          <w:i/>
          <w:sz w:val="24"/>
          <w:szCs w:val="24"/>
        </w:rPr>
        <w:t>Boler</w:t>
      </w:r>
      <w:r>
        <w:rPr>
          <w:sz w:val="24"/>
          <w:szCs w:val="24"/>
        </w:rPr>
        <w:t xml:space="preserve">.  Students may find the Sixth Circuit’s effort in </w:t>
      </w:r>
      <w:r w:rsidRPr="00A23F8D">
        <w:rPr>
          <w:i/>
          <w:sz w:val="24"/>
          <w:szCs w:val="24"/>
        </w:rPr>
        <w:t>Boler</w:t>
      </w:r>
      <w:r>
        <w:rPr>
          <w:sz w:val="24"/>
          <w:szCs w:val="24"/>
        </w:rPr>
        <w:t xml:space="preserve"> to distinguish </w:t>
      </w:r>
      <w:r w:rsidRPr="00A23F8D">
        <w:rPr>
          <w:i/>
          <w:sz w:val="24"/>
          <w:szCs w:val="24"/>
        </w:rPr>
        <w:t>Sea Clammers</w:t>
      </w:r>
      <w:r>
        <w:rPr>
          <w:sz w:val="24"/>
          <w:szCs w:val="24"/>
        </w:rPr>
        <w:t xml:space="preserve"> to be labored and not entirely convincing.  Through recitation of cases after </w:t>
      </w:r>
      <w:r w:rsidRPr="00F2356B">
        <w:rPr>
          <w:i/>
          <w:sz w:val="24"/>
          <w:szCs w:val="24"/>
        </w:rPr>
        <w:t>Sea Clammers</w:t>
      </w:r>
      <w:r>
        <w:rPr>
          <w:sz w:val="24"/>
          <w:szCs w:val="24"/>
        </w:rPr>
        <w:t xml:space="preserve">, the Sixth Circuit suggests the development of new methodology for determining congressional intent to preclude claims under § 1983.  Thus, the Sixth Circuit embarks on its analysis to evaluate the plain language, the legislative history, and the remedial scheme of the SDWA, and also the “contours of the rights and protections” of the SDWA as compared to those under the U.S. Constitution.  </w:t>
      </w:r>
    </w:p>
    <w:p w14:paraId="334DD7C8" w14:textId="77777777" w:rsidR="0070589C" w:rsidRDefault="0070589C" w:rsidP="0070589C">
      <w:pPr>
        <w:jc w:val="both"/>
        <w:rPr>
          <w:sz w:val="24"/>
          <w:szCs w:val="24"/>
        </w:rPr>
      </w:pPr>
    </w:p>
    <w:p w14:paraId="4C5BD12C" w14:textId="77777777" w:rsidR="0070589C" w:rsidRDefault="0070589C" w:rsidP="0070589C">
      <w:pPr>
        <w:ind w:right="540" w:firstLine="720"/>
        <w:jc w:val="both"/>
        <w:rPr>
          <w:sz w:val="24"/>
          <w:szCs w:val="24"/>
        </w:rPr>
      </w:pPr>
      <w:r>
        <w:rPr>
          <w:sz w:val="24"/>
          <w:szCs w:val="24"/>
        </w:rPr>
        <w:t xml:space="preserve">The Sixth Circuit’s analysis here clearly demonstrates that full compliance with SDWA regulations would not ensure full compliance with applicable constitutional rights, including the plaintiffs’ right to Equal Protection.  The Sixth Circuit has no clear answer, however, for why the Supreme Court in </w:t>
      </w:r>
      <w:r w:rsidRPr="002D3F58">
        <w:rPr>
          <w:i/>
          <w:sz w:val="24"/>
          <w:szCs w:val="24"/>
        </w:rPr>
        <w:t>Sea Clammers</w:t>
      </w:r>
      <w:r>
        <w:rPr>
          <w:sz w:val="24"/>
          <w:szCs w:val="24"/>
        </w:rPr>
        <w:t xml:space="preserve"> still concluded that the Clean Water Act precluded claims under § 1983 even though the plaintiffs’ claims in </w:t>
      </w:r>
      <w:r w:rsidRPr="006E4189">
        <w:rPr>
          <w:i/>
          <w:sz w:val="24"/>
          <w:szCs w:val="24"/>
        </w:rPr>
        <w:t>Sea Clammers</w:t>
      </w:r>
      <w:r>
        <w:rPr>
          <w:sz w:val="24"/>
          <w:szCs w:val="24"/>
        </w:rPr>
        <w:t xml:space="preserve"> clearly exceeded relief available under the Clean Water Act (e.g., claims for compensatory damages from lost fishing).  One explanation might be that the Supreme Court did not perceive injury to a constitutional right in </w:t>
      </w:r>
      <w:r w:rsidRPr="006E4189">
        <w:rPr>
          <w:i/>
          <w:sz w:val="24"/>
          <w:szCs w:val="24"/>
        </w:rPr>
        <w:t xml:space="preserve">Sea Clammers </w:t>
      </w:r>
      <w:r>
        <w:rPr>
          <w:sz w:val="24"/>
          <w:szCs w:val="24"/>
        </w:rPr>
        <w:t xml:space="preserve">(e.g., the possibility of taking fish in the future may not rise to a property right protected by the Due Process Clause) in the same way that </w:t>
      </w:r>
      <w:r w:rsidRPr="006E4189">
        <w:rPr>
          <w:i/>
          <w:sz w:val="24"/>
          <w:szCs w:val="24"/>
        </w:rPr>
        <w:t>Boler</w:t>
      </w:r>
      <w:r>
        <w:rPr>
          <w:sz w:val="24"/>
          <w:szCs w:val="24"/>
        </w:rPr>
        <w:t xml:space="preserve"> involved injuries to the constitutional rights to Equal Protection.  Another explanation might be that the Sixth Circuit believed that </w:t>
      </w:r>
      <w:r w:rsidRPr="006E4189">
        <w:rPr>
          <w:i/>
          <w:sz w:val="24"/>
          <w:szCs w:val="24"/>
        </w:rPr>
        <w:t>Sea Clammers</w:t>
      </w:r>
      <w:r>
        <w:rPr>
          <w:sz w:val="24"/>
          <w:szCs w:val="24"/>
        </w:rPr>
        <w:t xml:space="preserve"> was no longer good law, a supposition that the Sixth Circuit seems to suggest through its recitation of intervening Supreme Court cases and a supposition perhaps confirmed by the Supreme Court’s denial of certiorari in </w:t>
      </w:r>
      <w:r w:rsidRPr="006E4189">
        <w:rPr>
          <w:i/>
          <w:sz w:val="24"/>
          <w:szCs w:val="24"/>
        </w:rPr>
        <w:t>Boler</w:t>
      </w:r>
      <w:r>
        <w:rPr>
          <w:sz w:val="24"/>
          <w:szCs w:val="24"/>
        </w:rPr>
        <w:t xml:space="preserve">.  If that supposition is correct, this raises the question at the end of this note whether cases involving violations of the Clean Water Act might also support claims today under § 1983, contrary to the outcome of </w:t>
      </w:r>
      <w:r w:rsidRPr="005025C4">
        <w:rPr>
          <w:i/>
          <w:sz w:val="24"/>
          <w:szCs w:val="24"/>
        </w:rPr>
        <w:t>Sea Clammers</w:t>
      </w:r>
      <w:r>
        <w:rPr>
          <w:sz w:val="24"/>
          <w:szCs w:val="24"/>
        </w:rPr>
        <w:t xml:space="preserve"> in 1981.</w:t>
      </w:r>
    </w:p>
    <w:p w14:paraId="797463B1" w14:textId="77777777" w:rsidR="0070589C" w:rsidRDefault="0070589C" w:rsidP="0070589C">
      <w:pPr>
        <w:jc w:val="both"/>
        <w:rPr>
          <w:sz w:val="24"/>
          <w:szCs w:val="24"/>
        </w:rPr>
      </w:pPr>
    </w:p>
    <w:p w14:paraId="01216DEC" w14:textId="77777777" w:rsidR="0070589C" w:rsidRDefault="0070589C" w:rsidP="0070589C">
      <w:pPr>
        <w:ind w:right="540"/>
        <w:jc w:val="both"/>
        <w:rPr>
          <w:sz w:val="24"/>
          <w:szCs w:val="24"/>
        </w:rPr>
      </w:pPr>
      <w:r>
        <w:rPr>
          <w:sz w:val="24"/>
          <w:szCs w:val="24"/>
        </w:rPr>
        <w:tab/>
      </w:r>
      <w:r w:rsidRPr="005025C4">
        <w:rPr>
          <w:b/>
          <w:sz w:val="24"/>
          <w:szCs w:val="24"/>
        </w:rPr>
        <w:t>4.  Hypothetical:  The Treble Mine.</w:t>
      </w:r>
      <w:r>
        <w:rPr>
          <w:sz w:val="24"/>
          <w:szCs w:val="24"/>
        </w:rPr>
        <w:t xml:space="preserve">   Instructors may recognize this hypothetical as based loosely upon the epic battle over proposals to develop the Pebble Mine in Alaska, which would sit atop the watershed of Bristol Bay, home of the world’s largest salmon run.  The project has been vociferously opposed by coalitions of environmentalists, Alaska Natives, and commercial fishermen, who fear the kind of ecological calamity imagined here.  The unpermitted discharge of millions of tons of mine tailings into navigable streams would indeed constitute a major violation of the Clean Water Act.  Full enforcement of the Clean Water Act may result in the assessment of civil and criminal penalties and injunctive relief requiring restoration of the damaged ecosystem.  However, the Clean Water Act does not provide for compensation to parties, including Alaska Native Villages or commercial fishermen, who may suffer injuries as a result of the Clean Water Act violations. </w:t>
      </w:r>
    </w:p>
    <w:p w14:paraId="7A82AA82" w14:textId="77777777" w:rsidR="0070589C" w:rsidRDefault="0070589C" w:rsidP="0070589C">
      <w:pPr>
        <w:jc w:val="both"/>
        <w:rPr>
          <w:sz w:val="24"/>
          <w:szCs w:val="24"/>
        </w:rPr>
      </w:pPr>
    </w:p>
    <w:p w14:paraId="01D42AC7" w14:textId="77777777" w:rsidR="0070589C" w:rsidRDefault="0070589C" w:rsidP="0070589C">
      <w:pPr>
        <w:ind w:right="540" w:firstLine="720"/>
        <w:jc w:val="both"/>
        <w:rPr>
          <w:sz w:val="24"/>
          <w:szCs w:val="24"/>
        </w:rPr>
      </w:pPr>
      <w:r>
        <w:rPr>
          <w:sz w:val="24"/>
          <w:szCs w:val="24"/>
        </w:rPr>
        <w:lastRenderedPageBreak/>
        <w:t xml:space="preserve">The Treble Mine hypothetical is analogous to the fishermen’s claims in </w:t>
      </w:r>
      <w:r w:rsidRPr="00CC6D82">
        <w:rPr>
          <w:i/>
          <w:sz w:val="24"/>
          <w:szCs w:val="24"/>
        </w:rPr>
        <w:t>Sea Clammers</w:t>
      </w:r>
      <w:r>
        <w:rPr>
          <w:sz w:val="24"/>
          <w:szCs w:val="24"/>
        </w:rPr>
        <w:t xml:space="preserve"> for compensation due to lost fishing caused by the marine pollution.  A direct application of </w:t>
      </w:r>
      <w:r w:rsidRPr="008707B3">
        <w:rPr>
          <w:i/>
          <w:sz w:val="24"/>
          <w:szCs w:val="24"/>
        </w:rPr>
        <w:t>Sea</w:t>
      </w:r>
      <w:r>
        <w:rPr>
          <w:sz w:val="24"/>
          <w:szCs w:val="24"/>
        </w:rPr>
        <w:t xml:space="preserve"> </w:t>
      </w:r>
      <w:r w:rsidRPr="002D0F74">
        <w:rPr>
          <w:i/>
          <w:sz w:val="24"/>
          <w:szCs w:val="24"/>
        </w:rPr>
        <w:t>Clammers</w:t>
      </w:r>
      <w:r>
        <w:rPr>
          <w:sz w:val="24"/>
          <w:szCs w:val="24"/>
        </w:rPr>
        <w:t xml:space="preserve"> to this hypothetical may similarly result in the dismissal of a damages claim under § 1983 by the Native Villages.  However, an application of the </w:t>
      </w:r>
      <w:r w:rsidRPr="00BF7056">
        <w:rPr>
          <w:i/>
          <w:sz w:val="24"/>
          <w:szCs w:val="24"/>
        </w:rPr>
        <w:t>Boler</w:t>
      </w:r>
      <w:r>
        <w:rPr>
          <w:sz w:val="24"/>
          <w:szCs w:val="24"/>
        </w:rPr>
        <w:t xml:space="preserve"> “intent-based analysis,” focusing on the congressional intent of the Clean Water Act and the relative “contours of the rights and protections” of both the Clean Water Act and fishing rights of the Native Villages may allow the § 1983 claims to continue in this case.  To paraphrase the Sixth Circuit in </w:t>
      </w:r>
      <w:r w:rsidRPr="00791D58">
        <w:rPr>
          <w:i/>
          <w:sz w:val="24"/>
          <w:szCs w:val="24"/>
        </w:rPr>
        <w:t>Boler</w:t>
      </w:r>
      <w:r>
        <w:rPr>
          <w:sz w:val="24"/>
          <w:szCs w:val="24"/>
        </w:rPr>
        <w:t xml:space="preserve">, “conduct that violates the [Clean Water Act] might not violate the [Native fishing rights], and vice versa.”  For example, if the Treble Mine operator failed to file a monthly monitoring report, there may be a technical violation of the Clean Water Act but no injury to the salmon or salmon streams.  Conversely, an injury to the Native fishing rights (as through commercial overfishing or global warming) may present no violation of the Clean Water Act.  </w:t>
      </w:r>
    </w:p>
    <w:p w14:paraId="4379C260" w14:textId="77777777" w:rsidR="0070589C" w:rsidRDefault="0070589C" w:rsidP="0070589C">
      <w:pPr>
        <w:jc w:val="both"/>
        <w:rPr>
          <w:sz w:val="24"/>
          <w:szCs w:val="24"/>
        </w:rPr>
      </w:pPr>
    </w:p>
    <w:p w14:paraId="3122AB8E" w14:textId="77777777" w:rsidR="0070589C" w:rsidRPr="00B47633" w:rsidRDefault="0070589C" w:rsidP="0070589C">
      <w:pPr>
        <w:ind w:right="540" w:firstLine="720"/>
        <w:jc w:val="both"/>
        <w:rPr>
          <w:sz w:val="24"/>
          <w:szCs w:val="24"/>
        </w:rPr>
      </w:pPr>
      <w:r>
        <w:rPr>
          <w:sz w:val="24"/>
          <w:szCs w:val="24"/>
        </w:rPr>
        <w:t xml:space="preserve">Moreover, where – as here – the fishing right is directly impacted by the Clean Water Act violation, the present and future impacts to the fishery may or may not be remedied by complete Clean Water Act enforcement.  The killing of fish or even complete destruction of a fishery is not in itself a violation of the Clean Water Act.  The Clean Water Act would only be violated by discharging pollutants </w:t>
      </w:r>
      <w:r w:rsidRPr="000904D8">
        <w:rPr>
          <w:i/>
          <w:sz w:val="24"/>
          <w:szCs w:val="24"/>
        </w:rPr>
        <w:t>without a permit</w:t>
      </w:r>
      <w:r>
        <w:rPr>
          <w:sz w:val="24"/>
          <w:szCs w:val="24"/>
        </w:rPr>
        <w:t xml:space="preserve">.  Perhaps surprisingly, permits for the discharge of “fill” materials may often be obtained from the U.S. Army Corps of Engineers “after the fact” under Clean Water Act § 404.  Accordingly, the Clean Water Act violation in this hypothetical may be excused entirely, leaving the Native Village with no statutory remedy at all.  Even if the violation was not excused, </w:t>
      </w:r>
      <w:r w:rsidRPr="00153180">
        <w:rPr>
          <w:i/>
          <w:sz w:val="24"/>
          <w:szCs w:val="24"/>
        </w:rPr>
        <w:t>Sea Clammers</w:t>
      </w:r>
      <w:r>
        <w:rPr>
          <w:sz w:val="24"/>
          <w:szCs w:val="24"/>
        </w:rPr>
        <w:t xml:space="preserve"> still might be distinguished on some factual basis.  In </w:t>
      </w:r>
      <w:r w:rsidRPr="00153180">
        <w:rPr>
          <w:i/>
          <w:sz w:val="24"/>
          <w:szCs w:val="24"/>
        </w:rPr>
        <w:t>Sea Clammers</w:t>
      </w:r>
      <w:r>
        <w:rPr>
          <w:sz w:val="24"/>
          <w:szCs w:val="24"/>
        </w:rPr>
        <w:t xml:space="preserve">, enforcement of the Clean Water Act that stops illegal pollution into the Hudson River and New York Harbor might allow the impacted fishery to recover naturally over time.  In the Treble Mine hypothetical, by contrast, streams buried beneath mountains of mine waste may be lost forever as salmon habitat as long as the material remains in place.  </w:t>
      </w:r>
    </w:p>
    <w:p w14:paraId="1A1C266D" w14:textId="77777777" w:rsidR="0070589C" w:rsidRDefault="0070589C" w:rsidP="0070589C">
      <w:pPr>
        <w:jc w:val="both"/>
        <w:rPr>
          <w:sz w:val="24"/>
          <w:szCs w:val="24"/>
        </w:rPr>
      </w:pPr>
    </w:p>
    <w:p w14:paraId="44FAF425" w14:textId="77777777" w:rsidR="0070589C" w:rsidRDefault="0070589C" w:rsidP="0070589C">
      <w:pPr>
        <w:ind w:right="540"/>
        <w:jc w:val="both"/>
        <w:rPr>
          <w:sz w:val="24"/>
          <w:szCs w:val="24"/>
        </w:rPr>
      </w:pPr>
      <w:r>
        <w:rPr>
          <w:sz w:val="24"/>
          <w:szCs w:val="24"/>
        </w:rPr>
        <w:tab/>
      </w:r>
      <w:r w:rsidRPr="001C5402">
        <w:rPr>
          <w:b/>
          <w:sz w:val="24"/>
          <w:szCs w:val="24"/>
        </w:rPr>
        <w:t xml:space="preserve">5.  Final analysis. </w:t>
      </w:r>
      <w:r>
        <w:rPr>
          <w:sz w:val="24"/>
          <w:szCs w:val="24"/>
        </w:rPr>
        <w:t xml:space="preserve"> This question calls for students to evaluate the relative advantages and disadvantages of the three major constitutional and civil rights authorities examined in this chapter.  Instructors might use this question for a short, written homework assignment. Alternatively, the question may be used for an in-class activity, with students divided into three groups, each of which will evaluate one legal authority and then report conclusions back to the class.  A third approach would keep the class together and engage in a group brainstorm on pros and cons of each authority.</w:t>
      </w:r>
    </w:p>
    <w:p w14:paraId="6A751365" w14:textId="77777777" w:rsidR="0070589C" w:rsidRDefault="0070589C" w:rsidP="0070589C">
      <w:pPr>
        <w:jc w:val="both"/>
        <w:rPr>
          <w:sz w:val="24"/>
          <w:szCs w:val="24"/>
        </w:rPr>
      </w:pPr>
    </w:p>
    <w:p w14:paraId="2875EF5F" w14:textId="77777777" w:rsidR="0070589C" w:rsidRDefault="0070589C" w:rsidP="0070589C">
      <w:pPr>
        <w:pStyle w:val="ListParagraph"/>
        <w:numPr>
          <w:ilvl w:val="0"/>
          <w:numId w:val="17"/>
        </w:numPr>
        <w:ind w:right="828"/>
        <w:contextualSpacing/>
        <w:jc w:val="both"/>
      </w:pPr>
      <w:r w:rsidRPr="000A17D0">
        <w:rPr>
          <w:b/>
        </w:rPr>
        <w:t>Equal Protection:</w:t>
      </w:r>
      <w:r>
        <w:t xml:space="preserve">  S</w:t>
      </w:r>
      <w:r w:rsidRPr="000A17D0">
        <w:t xml:space="preserve">tudents should recognize the need to prove that the disparate state funding resulted from discriminatory intent.  </w:t>
      </w:r>
      <w:r w:rsidRPr="000A17D0">
        <w:rPr>
          <w:i/>
        </w:rPr>
        <w:t>Washington v. Davis</w:t>
      </w:r>
      <w:r w:rsidRPr="000A17D0">
        <w:t xml:space="preserve"> (1976).  This proof standard is often very challenging for plaintiffs, but it might be satisfied by searching for evidence to satisfy one or more of the five factors from </w:t>
      </w:r>
      <w:r w:rsidRPr="000A17D0">
        <w:rPr>
          <w:i/>
        </w:rPr>
        <w:t>Arlington Heights</w:t>
      </w:r>
      <w:r w:rsidRPr="000A17D0">
        <w:t xml:space="preserve"> (1977).  The first factor, “impact of the official action,” might be satisfied here where the disparity in state funding may leave your town in violation of the Safe Drinking Water Act decades longer than the next town over.  From there, discovery might reveal evidence to support additional </w:t>
      </w:r>
      <w:r w:rsidRPr="000A17D0">
        <w:rPr>
          <w:i/>
        </w:rPr>
        <w:t>Arlington Heights</w:t>
      </w:r>
      <w:r w:rsidRPr="000A17D0">
        <w:t xml:space="preserve"> factors, such as a history of state discrimination against racial minorities or contemporary </w:t>
      </w:r>
      <w:r w:rsidRPr="000A17D0">
        <w:lastRenderedPageBreak/>
        <w:t xml:space="preserve">statements indicating that the funding disparity was motivated by race discrimination.  </w:t>
      </w:r>
    </w:p>
    <w:p w14:paraId="4F6CD5A5" w14:textId="77777777" w:rsidR="0070589C" w:rsidRDefault="0070589C" w:rsidP="0070589C">
      <w:pPr>
        <w:pStyle w:val="ListParagraph"/>
        <w:jc w:val="both"/>
      </w:pPr>
    </w:p>
    <w:p w14:paraId="1D4CF562" w14:textId="77777777" w:rsidR="0070589C" w:rsidRDefault="0070589C" w:rsidP="0070589C">
      <w:pPr>
        <w:pStyle w:val="ListParagraph"/>
        <w:ind w:right="828" w:hanging="160"/>
        <w:jc w:val="both"/>
      </w:pPr>
      <w:r>
        <w:t xml:space="preserve"> </w:t>
      </w:r>
      <w:r w:rsidRPr="000A17D0">
        <w:t xml:space="preserve">For a contemporary example of “contemporary statements,” see </w:t>
      </w:r>
      <w:r>
        <w:rPr>
          <w:i/>
        </w:rPr>
        <w:t xml:space="preserve">Tucson Unified School </w:t>
      </w:r>
      <w:r w:rsidRPr="000A17D0">
        <w:rPr>
          <w:i/>
        </w:rPr>
        <w:t>District</w:t>
      </w:r>
      <w:r w:rsidRPr="000A17D0">
        <w:t xml:space="preserve">, where an Arizona state senator – under pseudonyms – </w:t>
      </w:r>
      <w:r>
        <w:t xml:space="preserve">supported abolition of Mexican-American Studies programs in Arizona public schools by posting </w:t>
      </w:r>
      <w:r w:rsidRPr="000A17D0">
        <w:t>racist comments on political blogs (e.g., “No Spanish radio stations, no Spanish billboards, no Spanish TV stations, no Spanish newspapers.  This is America, speak English”)</w:t>
      </w:r>
      <w:r>
        <w:t>.</w:t>
      </w:r>
      <w:r w:rsidRPr="000A17D0">
        <w:t xml:space="preserve"> Gonz</w:t>
      </w:r>
      <w:r>
        <w:t>á</w:t>
      </w:r>
      <w:r w:rsidRPr="000A17D0">
        <w:t>lez v. Douglas,</w:t>
      </w:r>
      <w:r>
        <w:t xml:space="preserve"> 269 F.Supp. 3d 948, 957 (D. Ariz. Aug. 22, 2017). </w:t>
      </w:r>
    </w:p>
    <w:p w14:paraId="2C6E6D4C" w14:textId="77777777" w:rsidR="0070589C" w:rsidRDefault="0070589C" w:rsidP="0070589C">
      <w:pPr>
        <w:pStyle w:val="ListParagraph"/>
        <w:jc w:val="both"/>
      </w:pPr>
    </w:p>
    <w:p w14:paraId="2363B508" w14:textId="77777777" w:rsidR="0070589C" w:rsidRDefault="0070589C" w:rsidP="0070589C">
      <w:pPr>
        <w:pStyle w:val="ListParagraph"/>
        <w:numPr>
          <w:ilvl w:val="0"/>
          <w:numId w:val="17"/>
        </w:numPr>
        <w:ind w:right="828"/>
        <w:contextualSpacing/>
        <w:jc w:val="both"/>
      </w:pPr>
      <w:r w:rsidRPr="000A17D0">
        <w:rPr>
          <w:b/>
        </w:rPr>
        <w:t>Title VI:</w:t>
      </w:r>
      <w:r>
        <w:t xml:space="preserve">  It</w:t>
      </w:r>
      <w:r w:rsidRPr="000A17D0">
        <w:t xml:space="preserve"> is possible that the EPA could ignore a Title VI complaint entirely (or perhaps for 25 years, as with the Genesee Power Station).  However, after several recent losses in federal court, it is also possible that the EPA might now respond to a Title VI complaint by encouraging the offending state to enter an Informal Resolution Agreement with the Title VI complainants.  Such an agreement might provide for a proportional increase in state funding for the necessary water infrastructure upgrades.  </w:t>
      </w:r>
    </w:p>
    <w:p w14:paraId="4324C521" w14:textId="77777777" w:rsidR="0070589C" w:rsidRPr="000A17D0" w:rsidRDefault="0070589C" w:rsidP="0070589C">
      <w:pPr>
        <w:pStyle w:val="ListParagraph"/>
        <w:jc w:val="both"/>
      </w:pPr>
    </w:p>
    <w:p w14:paraId="74AB58EE" w14:textId="77777777" w:rsidR="0070589C" w:rsidRPr="000A17D0" w:rsidRDefault="0070589C" w:rsidP="0070589C">
      <w:pPr>
        <w:pStyle w:val="ListParagraph"/>
        <w:numPr>
          <w:ilvl w:val="0"/>
          <w:numId w:val="17"/>
        </w:numPr>
        <w:ind w:right="828"/>
        <w:contextualSpacing/>
        <w:jc w:val="both"/>
      </w:pPr>
      <w:r w:rsidRPr="000A17D0">
        <w:rPr>
          <w:b/>
        </w:rPr>
        <w:t>§ 1983:</w:t>
      </w:r>
      <w:r>
        <w:t xml:space="preserve">  F</w:t>
      </w:r>
      <w:r w:rsidRPr="000A17D0">
        <w:t xml:space="preserve">iling of a civil complaint in federal court might also motivate a state government to seek a negotiated settlement.  A claim under § 1983 would not necessarily require proof of discriminatory intent (an Equal Protection standard), as § 1983 claims may be supported by violations of other constitutional rights (e.g., takings, procedural due process, and right to contract).  On the other hand, filing such a civil complaint may result in years of discovery, motions practice, trial court proceedings, and appeals. Outside of the Sixth Circuit, the defendants may be expected to argue that the § 1983 claims were precluded by the Safe Drinking Water Act, although plaintiffs may overcome this objection through the “intent-based analysis” demonstrated in </w:t>
      </w:r>
      <w:r w:rsidRPr="000A17D0">
        <w:rPr>
          <w:i/>
        </w:rPr>
        <w:t>Boler v. Earley</w:t>
      </w:r>
      <w:r w:rsidRPr="000A17D0">
        <w:t>.</w:t>
      </w:r>
    </w:p>
    <w:p w14:paraId="6C7F8969" w14:textId="77777777" w:rsidR="0070589C" w:rsidRDefault="0070589C" w:rsidP="0070589C">
      <w:pPr>
        <w:pStyle w:val="BodyText"/>
        <w:kinsoku w:val="0"/>
        <w:overflowPunct w:val="0"/>
        <w:ind w:right="897" w:firstLine="720"/>
        <w:jc w:val="both"/>
      </w:pPr>
    </w:p>
    <w:p w14:paraId="73C77129" w14:textId="77777777" w:rsidR="0070589C" w:rsidRDefault="0070589C" w:rsidP="0070589C">
      <w:pPr>
        <w:pStyle w:val="BodyText"/>
        <w:kinsoku w:val="0"/>
        <w:overflowPunct w:val="0"/>
        <w:ind w:right="897" w:firstLine="720"/>
        <w:jc w:val="both"/>
      </w:pPr>
    </w:p>
    <w:p w14:paraId="454D2103" w14:textId="77777777" w:rsidR="0070589C" w:rsidRDefault="0070589C" w:rsidP="0070589C">
      <w:pPr>
        <w:widowControl/>
        <w:autoSpaceDE/>
        <w:autoSpaceDN/>
        <w:adjustRightInd/>
        <w:spacing w:after="160" w:line="259" w:lineRule="auto"/>
        <w:rPr>
          <w:sz w:val="24"/>
          <w:szCs w:val="24"/>
        </w:rPr>
      </w:pPr>
      <w:r>
        <w:br w:type="page"/>
      </w:r>
    </w:p>
    <w:p w14:paraId="3AF85851" w14:textId="77777777" w:rsidR="0070589C" w:rsidRPr="00C73007" w:rsidRDefault="0070589C" w:rsidP="0070589C">
      <w:pPr>
        <w:pStyle w:val="BodyText"/>
        <w:rPr>
          <w:b/>
          <w:bCs/>
          <w:sz w:val="32"/>
          <w:szCs w:val="32"/>
        </w:rPr>
      </w:pPr>
      <w:r w:rsidRPr="00C73007">
        <w:rPr>
          <w:b/>
          <w:bCs/>
          <w:sz w:val="32"/>
          <w:szCs w:val="32"/>
        </w:rPr>
        <w:lastRenderedPageBreak/>
        <w:t>Chapter 5</w:t>
      </w:r>
    </w:p>
    <w:p w14:paraId="6460E84D" w14:textId="77777777" w:rsidR="0070589C" w:rsidRPr="00C73007" w:rsidRDefault="0070589C" w:rsidP="0070589C">
      <w:pPr>
        <w:pStyle w:val="BodyText"/>
        <w:rPr>
          <w:b/>
          <w:sz w:val="32"/>
          <w:szCs w:val="32"/>
        </w:rPr>
      </w:pPr>
    </w:p>
    <w:p w14:paraId="74BCB9BF" w14:textId="64540005" w:rsidR="0070589C" w:rsidRPr="00C73007" w:rsidRDefault="001D5B99" w:rsidP="0070589C">
      <w:pPr>
        <w:pStyle w:val="BodyText"/>
        <w:rPr>
          <w:b/>
          <w:sz w:val="32"/>
          <w:szCs w:val="32"/>
        </w:rPr>
      </w:pPr>
      <w:r>
        <w:rPr>
          <w:b/>
          <w:sz w:val="32"/>
          <w:szCs w:val="32"/>
        </w:rPr>
        <w:t>Environmental Regulations</w:t>
      </w:r>
    </w:p>
    <w:p w14:paraId="072EC42F" w14:textId="77777777" w:rsidR="0070589C" w:rsidRDefault="0070589C" w:rsidP="0070589C">
      <w:pPr>
        <w:pStyle w:val="BodyText"/>
        <w:tabs>
          <w:tab w:val="left" w:pos="3013"/>
        </w:tabs>
      </w:pPr>
    </w:p>
    <w:p w14:paraId="2828F2DA" w14:textId="77777777" w:rsidR="0070589C" w:rsidRPr="00C13864" w:rsidRDefault="0070589C" w:rsidP="0070589C">
      <w:pPr>
        <w:pStyle w:val="BodyText"/>
        <w:ind w:firstLine="720"/>
        <w:rPr>
          <w:b/>
        </w:rPr>
      </w:pPr>
      <w:r w:rsidRPr="00C13864">
        <w:rPr>
          <w:b/>
        </w:rPr>
        <w:t>A. Introduction</w:t>
      </w:r>
    </w:p>
    <w:p w14:paraId="45F95C61" w14:textId="77777777" w:rsidR="0070589C" w:rsidRDefault="0070589C" w:rsidP="0070589C">
      <w:pPr>
        <w:pStyle w:val="BodyText"/>
      </w:pPr>
    </w:p>
    <w:p w14:paraId="4CFF1432" w14:textId="1B574908" w:rsidR="00DC5CF2" w:rsidRDefault="0088301A" w:rsidP="0070589C">
      <w:pPr>
        <w:pStyle w:val="BodyText"/>
        <w:ind w:right="540" w:firstLine="720"/>
        <w:jc w:val="both"/>
      </w:pPr>
      <w:r>
        <w:t>Chapter 5 of this Fourth Edition</w:t>
      </w:r>
      <w:r w:rsidR="002A0039">
        <w:t>, “Environmental Regulations,”</w:t>
      </w:r>
      <w:r>
        <w:t xml:space="preserve"> represents a </w:t>
      </w:r>
      <w:r w:rsidR="00D26BDB">
        <w:t xml:space="preserve">new chapter in this book, replacing the chapter on “Standard </w:t>
      </w:r>
      <w:r w:rsidR="002A0039">
        <w:t xml:space="preserve">Setting” in previous editions.  </w:t>
      </w:r>
      <w:r w:rsidR="001D314F">
        <w:t xml:space="preserve">By broadening </w:t>
      </w:r>
      <w:r w:rsidR="00CF5343">
        <w:t xml:space="preserve">the scope to environmental regulations, the new chapter encompasses </w:t>
      </w:r>
      <w:r w:rsidR="006324EB">
        <w:t xml:space="preserve">environmental standards, such as Water Quality Standards under the Clean Water Act and the National Ambient Air Quality Standards under the Clean Air Act.  </w:t>
      </w:r>
      <w:r w:rsidR="00DB7A6B">
        <w:t xml:space="preserve">But the new chapter also encompasses other </w:t>
      </w:r>
      <w:r w:rsidR="00712529">
        <w:t xml:space="preserve">agency actions </w:t>
      </w:r>
      <w:r w:rsidR="00785410">
        <w:t xml:space="preserve">developed through rulemaking proceedings.  </w:t>
      </w:r>
      <w:r w:rsidR="002745EC">
        <w:t xml:space="preserve">Such actions include, for example, the addition of new contaminated sites </w:t>
      </w:r>
      <w:r w:rsidR="00F77517">
        <w:t xml:space="preserve">on the CERCLA National Priorities List (NPL) and the addition of new </w:t>
      </w:r>
      <w:r w:rsidR="00C26C5F">
        <w:t xml:space="preserve">hazardous </w:t>
      </w:r>
      <w:r w:rsidR="00F77517">
        <w:t xml:space="preserve">substances subject to CERCLA </w:t>
      </w:r>
      <w:r w:rsidR="008C3D3D">
        <w:t xml:space="preserve">authorities.  </w:t>
      </w:r>
    </w:p>
    <w:p w14:paraId="66DBEF7E" w14:textId="2A2E2618" w:rsidR="00DC5CF2" w:rsidRDefault="00DC5CF2" w:rsidP="0070589C">
      <w:pPr>
        <w:pStyle w:val="BodyText"/>
        <w:ind w:right="540" w:firstLine="720"/>
        <w:jc w:val="both"/>
      </w:pPr>
      <w:r>
        <w:t xml:space="preserve">Chapter 5 opens </w:t>
      </w:r>
      <w:r w:rsidR="00953623">
        <w:t xml:space="preserve">with a </w:t>
      </w:r>
      <w:r w:rsidR="005217C2">
        <w:t xml:space="preserve">string </w:t>
      </w:r>
      <w:r w:rsidR="00953623">
        <w:t>of federal environmental statutes</w:t>
      </w:r>
      <w:r w:rsidR="00C010F1">
        <w:t>, which may serve as an entry to federal environmental law for students</w:t>
      </w:r>
      <w:r w:rsidR="00B57460">
        <w:t xml:space="preserve"> who have not yet had a basic survey course in this area.  For fun, instructors may </w:t>
      </w:r>
      <w:r w:rsidR="005B6FA8">
        <w:t xml:space="preserve">have </w:t>
      </w:r>
      <w:r w:rsidR="00B57460">
        <w:t xml:space="preserve">students </w:t>
      </w:r>
      <w:r w:rsidR="005B6FA8">
        <w:t xml:space="preserve">practice pronouncing </w:t>
      </w:r>
      <w:r w:rsidR="00B57460">
        <w:t xml:space="preserve">the acronyms properly, to avoid sounding like amateurs in court.  </w:t>
      </w:r>
      <w:r w:rsidR="00263DCC">
        <w:t xml:space="preserve">(Say “RICK-ruh,” “TOSS-cuh.”)  </w:t>
      </w:r>
    </w:p>
    <w:p w14:paraId="3A8792D4" w14:textId="55DFCC11" w:rsidR="00C11FB7" w:rsidRDefault="00C11FB7" w:rsidP="0070589C">
      <w:pPr>
        <w:pStyle w:val="BodyText"/>
        <w:ind w:right="540" w:firstLine="720"/>
        <w:jc w:val="both"/>
      </w:pPr>
      <w:r>
        <w:t>One key point to emphasize in this Introduction is th</w:t>
      </w:r>
      <w:r w:rsidR="00946D34">
        <w:t xml:space="preserve">at environmental statutes usually require environmental regulations </w:t>
      </w:r>
      <w:r w:rsidR="00713908">
        <w:t xml:space="preserve">for implementation and enforcement.  And compliance with environmental regulations may – or may </w:t>
      </w:r>
      <w:r w:rsidR="00713908" w:rsidRPr="00713908">
        <w:rPr>
          <w:i/>
          <w:iCs/>
        </w:rPr>
        <w:t>not</w:t>
      </w:r>
      <w:r w:rsidR="00713908">
        <w:t xml:space="preserve"> – ensure protection of human health and the environment.  In this regard,</w:t>
      </w:r>
      <w:r w:rsidR="00EC3EDE">
        <w:t xml:space="preserve"> students </w:t>
      </w:r>
      <w:r w:rsidR="00A76982">
        <w:t xml:space="preserve">may </w:t>
      </w:r>
      <w:r w:rsidR="00EC3EDE">
        <w:t>recall the multiple errors</w:t>
      </w:r>
      <w:r w:rsidR="0050038D">
        <w:t xml:space="preserve"> in the </w:t>
      </w:r>
      <w:r w:rsidR="0050038D" w:rsidRPr="00D368F1">
        <w:rPr>
          <w:i/>
          <w:iCs/>
        </w:rPr>
        <w:t>Select Steel</w:t>
      </w:r>
      <w:r w:rsidR="0050038D">
        <w:t xml:space="preserve"> decision discussed in Chapter 4, where the standards for ozone applicable</w:t>
      </w:r>
      <w:r w:rsidR="000A436E">
        <w:t xml:space="preserve"> in 1998 were clearly not protective of human health as we now know today.  </w:t>
      </w:r>
    </w:p>
    <w:p w14:paraId="2770BC94" w14:textId="77777777" w:rsidR="00BB69A2" w:rsidRDefault="00BB69A2" w:rsidP="0070589C">
      <w:pPr>
        <w:pStyle w:val="BodyText"/>
        <w:ind w:right="540" w:firstLine="720"/>
        <w:jc w:val="both"/>
      </w:pPr>
    </w:p>
    <w:p w14:paraId="1BE484C6" w14:textId="239CF378" w:rsidR="00BB69A2" w:rsidRPr="00817EFC" w:rsidRDefault="00A741CA" w:rsidP="0070589C">
      <w:pPr>
        <w:pStyle w:val="BodyText"/>
        <w:ind w:right="540" w:firstLine="720"/>
        <w:jc w:val="both"/>
        <w:rPr>
          <w:b/>
          <w:bCs/>
        </w:rPr>
      </w:pPr>
      <w:r w:rsidRPr="00817EFC">
        <w:rPr>
          <w:b/>
          <w:bCs/>
        </w:rPr>
        <w:t>B. Statutory Authority and Policy Approaches to Environmental Regulations</w:t>
      </w:r>
    </w:p>
    <w:p w14:paraId="36B015E5" w14:textId="77777777" w:rsidR="000C0E44" w:rsidRDefault="000C0E44" w:rsidP="0070589C">
      <w:pPr>
        <w:pStyle w:val="BodyText"/>
        <w:ind w:right="540" w:firstLine="720"/>
        <w:jc w:val="both"/>
      </w:pPr>
    </w:p>
    <w:p w14:paraId="1493B4C2" w14:textId="75B34D35" w:rsidR="000C0E44" w:rsidRDefault="00AB0D04" w:rsidP="0070589C">
      <w:pPr>
        <w:pStyle w:val="BodyText"/>
        <w:ind w:right="540" w:firstLine="720"/>
        <w:jc w:val="both"/>
      </w:pPr>
      <w:r>
        <w:t>This section introduces the idea that environmental regulations reflect both statutory authorities and policy choices</w:t>
      </w:r>
      <w:r w:rsidR="00E33D54">
        <w:t xml:space="preserve"> that may promote – or </w:t>
      </w:r>
      <w:r w:rsidR="00E33D54" w:rsidRPr="00FA60C4">
        <w:rPr>
          <w:i/>
          <w:iCs/>
        </w:rPr>
        <w:t>diminish</w:t>
      </w:r>
      <w:r w:rsidR="00E33D54">
        <w:t xml:space="preserve"> – environmental protection.  </w:t>
      </w:r>
      <w:r w:rsidR="000241C7">
        <w:t>As a general matter, students should see that rulemaking can take a long time</w:t>
      </w:r>
      <w:r w:rsidR="00476734">
        <w:t xml:space="preserve"> (often measured in years) and that </w:t>
      </w:r>
      <w:r w:rsidR="00F24687">
        <w:t xml:space="preserve">rules, once final, cannot be simply dismissed </w:t>
      </w:r>
      <w:r w:rsidR="005D51AB">
        <w:t>(as the first Trump administration discovered), but must be subject to a rulemaking process to undo.</w:t>
      </w:r>
      <w:r w:rsidR="006D7C35">
        <w:t xml:space="preserve"> Citizen litigation can also compel rulemaking or </w:t>
      </w:r>
      <w:r w:rsidR="00A030D8">
        <w:t>challenge deregulation.</w:t>
      </w:r>
    </w:p>
    <w:p w14:paraId="463DC8FF" w14:textId="77777777" w:rsidR="00A030D8" w:rsidRDefault="00A030D8" w:rsidP="0070589C">
      <w:pPr>
        <w:pStyle w:val="BodyText"/>
        <w:ind w:right="540" w:firstLine="720"/>
        <w:jc w:val="both"/>
      </w:pPr>
    </w:p>
    <w:p w14:paraId="6D27E01F" w14:textId="12CF68F9" w:rsidR="00121005" w:rsidRDefault="00121005" w:rsidP="0024697B">
      <w:pPr>
        <w:pStyle w:val="BodyText"/>
        <w:ind w:right="540" w:firstLine="720"/>
        <w:jc w:val="center"/>
      </w:pPr>
      <w:r>
        <w:t xml:space="preserve">Richard J. Lazarus &amp; Stephanie Tai, Integrating Environmental Justice into EPA Permitting Authority, 26 </w:t>
      </w:r>
      <w:r w:rsidRPr="0024697B">
        <w:rPr>
          <w:smallCaps/>
        </w:rPr>
        <w:t>Ecology L.</w:t>
      </w:r>
      <w:r>
        <w:t>Q. 617 (1999)</w:t>
      </w:r>
    </w:p>
    <w:p w14:paraId="4F8CE7D4" w14:textId="77777777" w:rsidR="00121005" w:rsidRDefault="00121005" w:rsidP="0070589C">
      <w:pPr>
        <w:pStyle w:val="BodyText"/>
        <w:ind w:right="540" w:firstLine="720"/>
        <w:jc w:val="both"/>
      </w:pPr>
    </w:p>
    <w:p w14:paraId="37D0122E" w14:textId="6DC84C1B" w:rsidR="0070589C" w:rsidRDefault="0024697B" w:rsidP="00087255">
      <w:pPr>
        <w:pStyle w:val="BodyText"/>
        <w:ind w:right="540" w:firstLine="720"/>
        <w:jc w:val="both"/>
      </w:pPr>
      <w:r>
        <w:t>T</w:t>
      </w:r>
      <w:r w:rsidR="0070589C">
        <w:t xml:space="preserve">he article by Professor Lazarus &amp; Stephanie Tai </w:t>
      </w:r>
      <w:r>
        <w:t xml:space="preserve">provides students with additional background on rulemaking authorities under the Clean Air Act, Clean Water Act, and Federal Insecticide, Fungicide, and Rodenticide Act (FIFRA).  </w:t>
      </w:r>
      <w:r w:rsidR="00876E91">
        <w:t xml:space="preserve">The excerpt identifies some </w:t>
      </w:r>
      <w:r w:rsidR="003523F9">
        <w:t xml:space="preserve">basic requirements for </w:t>
      </w:r>
      <w:r w:rsidR="00876E91">
        <w:t xml:space="preserve">CAA and CWA regulations.  </w:t>
      </w:r>
      <w:r w:rsidR="003523F9">
        <w:t xml:space="preserve">The excerpt also introduces students to FIFRA, which can be </w:t>
      </w:r>
      <w:r w:rsidR="00523953">
        <w:t>especially significant for protecting the health of farmworkers and their families.</w:t>
      </w:r>
    </w:p>
    <w:p w14:paraId="44564328" w14:textId="77777777" w:rsidR="0070589C" w:rsidRPr="00FD2E30" w:rsidRDefault="0070589C" w:rsidP="0070589C">
      <w:pPr>
        <w:pStyle w:val="BodyText"/>
        <w:kinsoku w:val="0"/>
        <w:overflowPunct w:val="0"/>
        <w:jc w:val="center"/>
        <w:rPr>
          <w:b/>
          <w:i/>
          <w:sz w:val="28"/>
          <w:szCs w:val="28"/>
        </w:rPr>
      </w:pPr>
      <w:r w:rsidRPr="00FD2E30">
        <w:rPr>
          <w:b/>
          <w:i/>
          <w:sz w:val="28"/>
          <w:szCs w:val="28"/>
        </w:rPr>
        <w:t>Notes and Questions</w:t>
      </w:r>
    </w:p>
    <w:p w14:paraId="3C5B2435" w14:textId="77777777" w:rsidR="0070589C" w:rsidRDefault="0070589C" w:rsidP="0070589C">
      <w:pPr>
        <w:pStyle w:val="BodyText"/>
        <w:rPr>
          <w:bCs/>
          <w:sz w:val="20"/>
          <w:szCs w:val="20"/>
        </w:rPr>
      </w:pPr>
    </w:p>
    <w:p w14:paraId="693FA069" w14:textId="0EB1C3C8" w:rsidR="00FD4E31" w:rsidRDefault="001131BB" w:rsidP="001131BB">
      <w:pPr>
        <w:pStyle w:val="BodyText"/>
        <w:tabs>
          <w:tab w:val="left" w:pos="441"/>
        </w:tabs>
        <w:kinsoku w:val="0"/>
        <w:overflowPunct w:val="0"/>
        <w:spacing w:before="20"/>
        <w:ind w:right="540"/>
        <w:jc w:val="both"/>
      </w:pPr>
      <w:r>
        <w:rPr>
          <w:b/>
        </w:rPr>
        <w:tab/>
        <w:t xml:space="preserve">1. </w:t>
      </w:r>
      <w:r w:rsidR="002626C3">
        <w:rPr>
          <w:b/>
        </w:rPr>
        <w:t>Decline of agency deference.</w:t>
      </w:r>
      <w:r w:rsidR="0070589C" w:rsidRPr="00C73007">
        <w:t xml:space="preserve">  </w:t>
      </w:r>
      <w:r w:rsidR="00CE6864">
        <w:t xml:space="preserve">This note introduces students to one of the most significant developments </w:t>
      </w:r>
      <w:r w:rsidR="00CB7A89">
        <w:t xml:space="preserve">in </w:t>
      </w:r>
      <w:r w:rsidR="00F32FAE">
        <w:t>administrative law</w:t>
      </w:r>
      <w:r w:rsidR="00CB7A89">
        <w:t xml:space="preserve">:  the </w:t>
      </w:r>
      <w:r w:rsidR="00EA55B4">
        <w:t xml:space="preserve">official </w:t>
      </w:r>
      <w:r w:rsidR="00CB7A89">
        <w:t xml:space="preserve">decline of </w:t>
      </w:r>
      <w:r w:rsidR="00BE32CF">
        <w:t xml:space="preserve">judicial deference to federal rulemaking, </w:t>
      </w:r>
      <w:r w:rsidR="00EA55B4">
        <w:t>announced</w:t>
      </w:r>
      <w:r w:rsidR="00044D9A">
        <w:t xml:space="preserve"> by</w:t>
      </w:r>
      <w:r w:rsidR="00571CD7">
        <w:t xml:space="preserve"> the U.S. Supreme Court</w:t>
      </w:r>
      <w:r w:rsidR="00E5638B">
        <w:t xml:space="preserve"> </w:t>
      </w:r>
      <w:r w:rsidR="00571CD7">
        <w:t xml:space="preserve">in </w:t>
      </w:r>
      <w:r w:rsidR="00571CD7" w:rsidRPr="00164F34">
        <w:rPr>
          <w:i/>
          <w:iCs/>
        </w:rPr>
        <w:t>Loper Bright Enterprises v. Raimondo</w:t>
      </w:r>
      <w:r w:rsidR="00571CD7">
        <w:t xml:space="preserve"> (2024).  </w:t>
      </w:r>
      <w:r w:rsidR="00164F34">
        <w:t xml:space="preserve">Before </w:t>
      </w:r>
      <w:r w:rsidR="00164F34" w:rsidRPr="00A422AE">
        <w:rPr>
          <w:i/>
          <w:iCs/>
        </w:rPr>
        <w:t>Loper Bright</w:t>
      </w:r>
      <w:r w:rsidR="00164F34">
        <w:t xml:space="preserve">, generations of students </w:t>
      </w:r>
      <w:r w:rsidR="00A422AE">
        <w:t xml:space="preserve">and lawyers learned to apply </w:t>
      </w:r>
      <w:r w:rsidR="004B209D">
        <w:t xml:space="preserve">the “Chevron Two-Step” from </w:t>
      </w:r>
      <w:r w:rsidR="004B209D" w:rsidRPr="004B209D">
        <w:rPr>
          <w:i/>
          <w:iCs/>
        </w:rPr>
        <w:t>Chevron v. NRDC</w:t>
      </w:r>
      <w:r w:rsidR="004B209D">
        <w:t xml:space="preserve"> (1984)</w:t>
      </w:r>
      <w:r w:rsidR="00DD517C">
        <w:t xml:space="preserve">, which was supposedly a highly deferential standard, often </w:t>
      </w:r>
      <w:r w:rsidR="007C08DE">
        <w:t>loathed by industry and political conservatives</w:t>
      </w:r>
      <w:r w:rsidR="00E5638B">
        <w:t>.</w:t>
      </w:r>
      <w:r w:rsidR="007C08DE">
        <w:t xml:space="preserve"> (</w:t>
      </w:r>
      <w:r w:rsidR="00E5638B">
        <w:t>I</w:t>
      </w:r>
      <w:r w:rsidR="007C08DE">
        <w:t xml:space="preserve">ronically, </w:t>
      </w:r>
      <w:r w:rsidR="007C08DE" w:rsidRPr="007A412C">
        <w:rPr>
          <w:i/>
          <w:iCs/>
        </w:rPr>
        <w:t>Chevron</w:t>
      </w:r>
      <w:r w:rsidR="007C08DE">
        <w:t xml:space="preserve"> itself </w:t>
      </w:r>
      <w:r w:rsidR="007A412C">
        <w:t>applied deference to uphold an EPA regulation favored by industry).</w:t>
      </w:r>
      <w:r w:rsidR="00EB7E8D">
        <w:t xml:space="preserve">  </w:t>
      </w:r>
      <w:r w:rsidR="00FB1836">
        <w:t xml:space="preserve">Students who have heard of the demise of </w:t>
      </w:r>
      <w:r w:rsidR="002564E2" w:rsidRPr="002564E2">
        <w:rPr>
          <w:i/>
          <w:iCs/>
        </w:rPr>
        <w:t>Chevron</w:t>
      </w:r>
      <w:r w:rsidR="002564E2">
        <w:t xml:space="preserve"> deference may be surprised to learn </w:t>
      </w:r>
      <w:r w:rsidR="001D1DDA">
        <w:t xml:space="preserve">that </w:t>
      </w:r>
      <w:r w:rsidR="00F301E1">
        <w:t xml:space="preserve">many </w:t>
      </w:r>
      <w:r w:rsidR="001D1DDA">
        <w:t>federal policymakers (including</w:t>
      </w:r>
      <w:r w:rsidR="00F301E1">
        <w:t xml:space="preserve"> one or more </w:t>
      </w:r>
      <w:r w:rsidR="008F2C4D">
        <w:t>of th</w:t>
      </w:r>
      <w:r w:rsidR="00ED1961">
        <w:t xml:space="preserve">is book’s authors) </w:t>
      </w:r>
      <w:r w:rsidR="005C6EDF">
        <w:t xml:space="preserve">stopped relying </w:t>
      </w:r>
      <w:r w:rsidR="00A9219E">
        <w:t xml:space="preserve">on </w:t>
      </w:r>
      <w:r w:rsidR="00A9219E" w:rsidRPr="00A365A7">
        <w:rPr>
          <w:i/>
          <w:iCs/>
        </w:rPr>
        <w:t>Chevron</w:t>
      </w:r>
      <w:r w:rsidR="00A9219E">
        <w:t xml:space="preserve"> deference years ago, as the Supreme Court clearly signaled </w:t>
      </w:r>
      <w:r w:rsidR="00A365A7">
        <w:t xml:space="preserve">an intent </w:t>
      </w:r>
      <w:r w:rsidR="007C6FE7">
        <w:t xml:space="preserve">to displace it someday.  In the end, </w:t>
      </w:r>
      <w:r w:rsidR="0018345A">
        <w:t xml:space="preserve">overturning </w:t>
      </w:r>
      <w:r w:rsidR="0018345A" w:rsidRPr="0018345A">
        <w:rPr>
          <w:i/>
          <w:iCs/>
        </w:rPr>
        <w:t>Chevron</w:t>
      </w:r>
      <w:r w:rsidR="0018345A">
        <w:t xml:space="preserve"> may or may not result</w:t>
      </w:r>
      <w:r w:rsidR="00197AB0">
        <w:t xml:space="preserve"> in </w:t>
      </w:r>
      <w:r w:rsidR="0018345A">
        <w:t xml:space="preserve">a significant decline </w:t>
      </w:r>
      <w:r w:rsidR="00197AB0">
        <w:t xml:space="preserve">in judicial deference.  </w:t>
      </w:r>
      <w:r w:rsidR="003B71C5">
        <w:t xml:space="preserve">As indicated in the Court’s decision in </w:t>
      </w:r>
      <w:r w:rsidR="003B71C5" w:rsidRPr="00CE6A28">
        <w:rPr>
          <w:i/>
          <w:iCs/>
        </w:rPr>
        <w:t>Seven County Infrastructure Coalition</w:t>
      </w:r>
      <w:r w:rsidR="00CE6A28" w:rsidRPr="00CE6A28">
        <w:rPr>
          <w:i/>
          <w:iCs/>
        </w:rPr>
        <w:t xml:space="preserve"> v. Eagle County</w:t>
      </w:r>
      <w:r w:rsidR="00CE6A28">
        <w:t xml:space="preserve"> (2025), substantial deference to </w:t>
      </w:r>
      <w:r w:rsidR="00E57D2E">
        <w:t xml:space="preserve">federal </w:t>
      </w:r>
      <w:r w:rsidR="00CE6A28">
        <w:t xml:space="preserve">agencies is still supported by the “arbitrary and capricious” standard under the Administrative Procedure Act.  </w:t>
      </w:r>
    </w:p>
    <w:p w14:paraId="75BD161D" w14:textId="34709D64" w:rsidR="000332AB" w:rsidRDefault="00FD4E31" w:rsidP="001131BB">
      <w:pPr>
        <w:pStyle w:val="BodyText"/>
        <w:tabs>
          <w:tab w:val="left" w:pos="441"/>
        </w:tabs>
        <w:kinsoku w:val="0"/>
        <w:overflowPunct w:val="0"/>
        <w:spacing w:before="20"/>
        <w:ind w:right="540"/>
        <w:jc w:val="both"/>
      </w:pPr>
      <w:r>
        <w:tab/>
      </w:r>
      <w:r w:rsidR="00095082">
        <w:t xml:space="preserve">After </w:t>
      </w:r>
      <w:r w:rsidR="00095082" w:rsidRPr="00095082">
        <w:rPr>
          <w:i/>
          <w:iCs/>
        </w:rPr>
        <w:t>Loper Bright</w:t>
      </w:r>
      <w:r w:rsidR="00095082">
        <w:t xml:space="preserve">, with a supposedly less deferential standard for agency review, it remains to be seen whether EJ advocates will have greater ability to challenge deregulation </w:t>
      </w:r>
      <w:r w:rsidR="00056083">
        <w:t>and other action</w:t>
      </w:r>
      <w:r w:rsidR="00095082">
        <w:t xml:space="preserve">s of the Trump administration.  They </w:t>
      </w:r>
      <w:r w:rsidR="00AD7575">
        <w:t>should have greater ability</w:t>
      </w:r>
      <w:r w:rsidR="00AB73AB">
        <w:t xml:space="preserve"> to challenge deregulation, at least on the district court level.  B</w:t>
      </w:r>
      <w:r w:rsidR="00AD7575">
        <w:t xml:space="preserve">ut </w:t>
      </w:r>
      <w:r w:rsidR="00B300EC">
        <w:t xml:space="preserve">so far, the </w:t>
      </w:r>
      <w:r w:rsidR="00197AB0">
        <w:t xml:space="preserve">current Supreme Court </w:t>
      </w:r>
      <w:r w:rsidR="00B300EC">
        <w:t xml:space="preserve">has afforded </w:t>
      </w:r>
      <w:r w:rsidR="003447CB">
        <w:t xml:space="preserve">unprecedented </w:t>
      </w:r>
      <w:r w:rsidR="00487704">
        <w:t>deference to actions of the Trump administration</w:t>
      </w:r>
      <w:r w:rsidR="00E31494">
        <w:t xml:space="preserve">.  </w:t>
      </w:r>
      <w:r w:rsidR="00E31494" w:rsidRPr="00605C3A">
        <w:rPr>
          <w:i/>
          <w:iCs/>
        </w:rPr>
        <w:t>See</w:t>
      </w:r>
      <w:r w:rsidR="009563F4">
        <w:rPr>
          <w:i/>
          <w:iCs/>
        </w:rPr>
        <w:t>, e.g.,</w:t>
      </w:r>
      <w:r w:rsidR="00E31494">
        <w:t xml:space="preserve"> </w:t>
      </w:r>
      <w:r w:rsidR="0017321A">
        <w:t>Noem v. Vasquez Perdomo, 606 U.S. ___ (2025)</w:t>
      </w:r>
      <w:r w:rsidR="009563F4">
        <w:t xml:space="preserve"> (allowing federal agents to engage in racial profiling in immigrant stops).</w:t>
      </w:r>
    </w:p>
    <w:p w14:paraId="2529AD7D" w14:textId="77777777" w:rsidR="00C4018F" w:rsidRDefault="00C4018F" w:rsidP="00C4018F">
      <w:pPr>
        <w:pStyle w:val="BodyText"/>
        <w:tabs>
          <w:tab w:val="left" w:pos="441"/>
        </w:tabs>
        <w:kinsoku w:val="0"/>
        <w:overflowPunct w:val="0"/>
        <w:spacing w:before="20"/>
        <w:ind w:right="540"/>
        <w:jc w:val="both"/>
      </w:pPr>
    </w:p>
    <w:p w14:paraId="0F88D475" w14:textId="3441013D" w:rsidR="0070589C" w:rsidRPr="00C73007" w:rsidRDefault="003A5654" w:rsidP="00C4018F">
      <w:pPr>
        <w:pStyle w:val="BodyText"/>
        <w:tabs>
          <w:tab w:val="left" w:pos="441"/>
        </w:tabs>
        <w:kinsoku w:val="0"/>
        <w:overflowPunct w:val="0"/>
        <w:spacing w:before="20"/>
        <w:ind w:right="540"/>
        <w:jc w:val="both"/>
      </w:pPr>
      <w:r>
        <w:tab/>
      </w:r>
      <w:r w:rsidRPr="00645146">
        <w:rPr>
          <w:b/>
          <w:bCs/>
        </w:rPr>
        <w:t xml:space="preserve">2. </w:t>
      </w:r>
      <w:r w:rsidR="008171A1" w:rsidRPr="00645146">
        <w:rPr>
          <w:b/>
          <w:bCs/>
        </w:rPr>
        <w:t>The “Major Questions” Doctrine.</w:t>
      </w:r>
      <w:r w:rsidR="008171A1">
        <w:t xml:space="preserve">  </w:t>
      </w:r>
      <w:r>
        <w:t xml:space="preserve"> </w:t>
      </w:r>
      <w:r w:rsidR="00BE57FC">
        <w:t xml:space="preserve">Along with </w:t>
      </w:r>
      <w:r w:rsidR="00BE57FC" w:rsidRPr="00645146">
        <w:rPr>
          <w:i/>
          <w:iCs/>
        </w:rPr>
        <w:t>Loper Bright</w:t>
      </w:r>
      <w:r w:rsidR="00BE57FC">
        <w:t>, the Supreme Cou</w:t>
      </w:r>
      <w:r w:rsidR="00645146">
        <w:t>rt issued a</w:t>
      </w:r>
      <w:r w:rsidR="00B95C08">
        <w:t xml:space="preserve">nother radical </w:t>
      </w:r>
      <w:r w:rsidR="00B109A9">
        <w:t xml:space="preserve">turn </w:t>
      </w:r>
      <w:r w:rsidR="00410FD0">
        <w:t>for</w:t>
      </w:r>
      <w:r w:rsidR="00B109A9">
        <w:t xml:space="preserve"> administrative law with its majority decision </w:t>
      </w:r>
      <w:r w:rsidR="00B109A9" w:rsidRPr="00074D37">
        <w:rPr>
          <w:i/>
          <w:iCs/>
        </w:rPr>
        <w:t>in West Virginia v. EPA</w:t>
      </w:r>
      <w:r w:rsidR="00B109A9">
        <w:t xml:space="preserve"> (2022).  </w:t>
      </w:r>
      <w:r w:rsidR="00DA5B6D">
        <w:t xml:space="preserve">The notes here are fairly self-explanatory, with </w:t>
      </w:r>
      <w:r w:rsidR="009A0053">
        <w:t xml:space="preserve">most legal scholars </w:t>
      </w:r>
      <w:r w:rsidR="00874C9D">
        <w:t xml:space="preserve">assailing the Court’s invention </w:t>
      </w:r>
      <w:r w:rsidR="00FD44CF">
        <w:t xml:space="preserve">of the doctrine </w:t>
      </w:r>
      <w:r w:rsidR="00846E3E">
        <w:t xml:space="preserve">as unsupported </w:t>
      </w:r>
      <w:r w:rsidR="00C22864">
        <w:t xml:space="preserve">on </w:t>
      </w:r>
      <w:r w:rsidR="00E47B13">
        <w:t>either</w:t>
      </w:r>
      <w:r w:rsidR="00C22864">
        <w:t xml:space="preserve"> doctrinal and administrability grounds.  Note that </w:t>
      </w:r>
      <w:r w:rsidR="008971E3">
        <w:t xml:space="preserve">West Virginia itself lacked standing to sue, given that the </w:t>
      </w:r>
      <w:r w:rsidR="00FE624C">
        <w:t xml:space="preserve">EPA rule </w:t>
      </w:r>
      <w:r w:rsidR="008971E3">
        <w:t>it challenged never went into effect.</w:t>
      </w:r>
      <w:r w:rsidR="004E674D">
        <w:t xml:space="preserve"> </w:t>
      </w:r>
      <w:r w:rsidR="008971E3">
        <w:t xml:space="preserve">Note also that </w:t>
      </w:r>
      <w:r w:rsidR="00FE624C">
        <w:t xml:space="preserve">the Court has not applied </w:t>
      </w:r>
      <w:r w:rsidR="00F937AC">
        <w:t>the</w:t>
      </w:r>
      <w:r w:rsidR="00FE624C">
        <w:t xml:space="preserve"> </w:t>
      </w:r>
      <w:r w:rsidR="002A5D5E">
        <w:t>m</w:t>
      </w:r>
      <w:r w:rsidR="00FE624C">
        <w:t xml:space="preserve">ajor </w:t>
      </w:r>
      <w:r w:rsidR="002A5D5E">
        <w:t>q</w:t>
      </w:r>
      <w:r w:rsidR="00FE624C">
        <w:t xml:space="preserve">uestions doctrine to some of the most major questions </w:t>
      </w:r>
      <w:r w:rsidR="006B0C5E">
        <w:t xml:space="preserve">raised by the Trump administration, including the wholesale destruction of federal agencies </w:t>
      </w:r>
      <w:r w:rsidR="008F28D4">
        <w:t xml:space="preserve">such as </w:t>
      </w:r>
      <w:r w:rsidR="006B0C5E">
        <w:t>U.S. AID in 2025.</w:t>
      </w:r>
      <w:r w:rsidR="00A92F8D">
        <w:t xml:space="preserve">  </w:t>
      </w:r>
      <w:r w:rsidR="007C6E9E">
        <w:t xml:space="preserve">The Court did, however, </w:t>
      </w:r>
      <w:r w:rsidR="00E962FA">
        <w:t xml:space="preserve">appear cognizant of their </w:t>
      </w:r>
      <w:r w:rsidR="002A5D5E">
        <w:t>m</w:t>
      </w:r>
      <w:r w:rsidR="00E962FA">
        <w:t xml:space="preserve">ajor </w:t>
      </w:r>
      <w:r w:rsidR="002A5D5E">
        <w:t>q</w:t>
      </w:r>
      <w:r w:rsidR="00E962FA">
        <w:t>uestions doctrine in considering challenges to Trump’s tariffs</w:t>
      </w:r>
      <w:r w:rsidR="000726E8">
        <w:t xml:space="preserve"> on international trade.  </w:t>
      </w:r>
      <w:r w:rsidR="0013269E">
        <w:t xml:space="preserve">In the case of </w:t>
      </w:r>
      <w:r w:rsidR="0013269E" w:rsidRPr="00934C18">
        <w:rPr>
          <w:i/>
          <w:iCs/>
        </w:rPr>
        <w:t>Learning Resources, Inc</w:t>
      </w:r>
      <w:r w:rsidR="00934C18" w:rsidRPr="00934C18">
        <w:rPr>
          <w:i/>
          <w:iCs/>
        </w:rPr>
        <w:t>. v. Trump</w:t>
      </w:r>
      <w:r w:rsidR="00934C18">
        <w:t>, the Supreme Court heard oral argument on November 5, 2025, in which Chief Justice Roberts spe</w:t>
      </w:r>
      <w:r w:rsidR="001023FD">
        <w:t xml:space="preserve">cifically suggested the Trump’s use of the International Emergency Economic Powers Act to impose tariffs </w:t>
      </w:r>
      <w:r w:rsidR="002A5D5E">
        <w:t>on other countries without explicit Congressional authority may violate the major questions doctrine.</w:t>
      </w:r>
      <w:r w:rsidR="00CD0E49">
        <w:t xml:space="preserve">  For discussion, see Amy Howe, </w:t>
      </w:r>
      <w:r w:rsidR="00CD0E49" w:rsidRPr="0072638D">
        <w:rPr>
          <w:i/>
          <w:iCs/>
        </w:rPr>
        <w:t>Court Appears Dubious of Trump’s Tariffs</w:t>
      </w:r>
      <w:r w:rsidR="00CD0E49">
        <w:t xml:space="preserve">, </w:t>
      </w:r>
      <w:r w:rsidR="00CD0E49" w:rsidRPr="0072638D">
        <w:rPr>
          <w:smallCaps/>
        </w:rPr>
        <w:t>SCOTUSblog</w:t>
      </w:r>
      <w:r w:rsidR="00CD0E49">
        <w:t>, Nov. 5, 2025.</w:t>
      </w:r>
    </w:p>
    <w:p w14:paraId="0F4B3FC2" w14:textId="77777777" w:rsidR="0070589C" w:rsidRPr="00D412B6" w:rsidRDefault="0070589C" w:rsidP="0070589C">
      <w:pPr>
        <w:pStyle w:val="BodyText"/>
        <w:tabs>
          <w:tab w:val="left" w:pos="441"/>
        </w:tabs>
        <w:kinsoku w:val="0"/>
        <w:overflowPunct w:val="0"/>
        <w:spacing w:before="20"/>
        <w:ind w:right="25"/>
        <w:jc w:val="both"/>
      </w:pPr>
    </w:p>
    <w:p w14:paraId="0B1DFF3E" w14:textId="129A0165" w:rsidR="0070589C" w:rsidRPr="00817EFC" w:rsidRDefault="007F6DC5" w:rsidP="00007D2A">
      <w:pPr>
        <w:pStyle w:val="BodyText"/>
        <w:ind w:left="500" w:right="540"/>
        <w:jc w:val="both"/>
        <w:rPr>
          <w:b/>
        </w:rPr>
      </w:pPr>
      <w:r w:rsidRPr="00817EFC">
        <w:rPr>
          <w:b/>
        </w:rPr>
        <w:t>C. Rulemaking Processes</w:t>
      </w:r>
    </w:p>
    <w:p w14:paraId="18D59BE8" w14:textId="77777777" w:rsidR="0070589C" w:rsidRDefault="0070589C" w:rsidP="0070589C">
      <w:pPr>
        <w:pStyle w:val="BodyText"/>
        <w:jc w:val="both"/>
        <w:rPr>
          <w:b/>
        </w:rPr>
      </w:pPr>
    </w:p>
    <w:p w14:paraId="61B8D54F" w14:textId="1AAF0216" w:rsidR="0070589C" w:rsidRDefault="006E23CF" w:rsidP="0070589C">
      <w:pPr>
        <w:pStyle w:val="BodyText"/>
        <w:jc w:val="both"/>
        <w:rPr>
          <w:bCs/>
        </w:rPr>
      </w:pPr>
      <w:r>
        <w:rPr>
          <w:b/>
        </w:rPr>
        <w:tab/>
      </w:r>
      <w:r w:rsidRPr="006E23CF">
        <w:rPr>
          <w:bCs/>
        </w:rPr>
        <w:t>This</w:t>
      </w:r>
      <w:r>
        <w:rPr>
          <w:bCs/>
        </w:rPr>
        <w:t xml:space="preserve"> section provides </w:t>
      </w:r>
      <w:r w:rsidR="00BA2DE4">
        <w:rPr>
          <w:bCs/>
        </w:rPr>
        <w:t xml:space="preserve">a deeper introduction to Administrative Law for students </w:t>
      </w:r>
      <w:r w:rsidR="00057957">
        <w:rPr>
          <w:bCs/>
        </w:rPr>
        <w:t>who may need i</w:t>
      </w:r>
      <w:r w:rsidR="00A4459D">
        <w:rPr>
          <w:bCs/>
        </w:rPr>
        <w:t>t</w:t>
      </w:r>
      <w:r w:rsidR="009664A3">
        <w:rPr>
          <w:bCs/>
        </w:rPr>
        <w:t xml:space="preserve">.  Formal and informal rulemaking are noted here, </w:t>
      </w:r>
      <w:r w:rsidR="00F7356D">
        <w:rPr>
          <w:bCs/>
        </w:rPr>
        <w:t xml:space="preserve">along with the general outline of the federal rulemaking process.  </w:t>
      </w:r>
      <w:r w:rsidR="00E42785">
        <w:rPr>
          <w:bCs/>
        </w:rPr>
        <w:t xml:space="preserve">Instructors may also want to take this moment to compare the federal rulemaking scheme with </w:t>
      </w:r>
      <w:r w:rsidR="0006742C">
        <w:rPr>
          <w:bCs/>
        </w:rPr>
        <w:t>rulemaking schemes of their own state or local jurisdiction.  On the federal level, formal rulemaking</w:t>
      </w:r>
      <w:r w:rsidR="003430CE">
        <w:rPr>
          <w:bCs/>
        </w:rPr>
        <w:t>,</w:t>
      </w:r>
      <w:r w:rsidR="00F335E1">
        <w:rPr>
          <w:bCs/>
        </w:rPr>
        <w:t xml:space="preserve"> including testimony and cross-examination </w:t>
      </w:r>
      <w:r w:rsidR="00F45610">
        <w:rPr>
          <w:bCs/>
        </w:rPr>
        <w:t xml:space="preserve">before hearings </w:t>
      </w:r>
      <w:r w:rsidR="00F45610">
        <w:rPr>
          <w:bCs/>
        </w:rPr>
        <w:lastRenderedPageBreak/>
        <w:t>officers</w:t>
      </w:r>
      <w:r w:rsidR="003430CE">
        <w:rPr>
          <w:bCs/>
        </w:rPr>
        <w:t xml:space="preserve">, </w:t>
      </w:r>
      <w:r w:rsidR="0006742C">
        <w:rPr>
          <w:bCs/>
        </w:rPr>
        <w:t xml:space="preserve">may be </w:t>
      </w:r>
      <w:r w:rsidR="001A17BC">
        <w:rPr>
          <w:bCs/>
        </w:rPr>
        <w:t xml:space="preserve">considerably rare, but may be much more common </w:t>
      </w:r>
      <w:r w:rsidR="003430CE">
        <w:rPr>
          <w:bCs/>
        </w:rPr>
        <w:t xml:space="preserve">in state and local proceedings.  </w:t>
      </w:r>
    </w:p>
    <w:p w14:paraId="1009339B" w14:textId="03195F16" w:rsidR="0070589C" w:rsidRPr="00D85A2E" w:rsidRDefault="00F45610" w:rsidP="00126606">
      <w:pPr>
        <w:pStyle w:val="BodyText"/>
        <w:jc w:val="both"/>
      </w:pPr>
      <w:r>
        <w:rPr>
          <w:bCs/>
        </w:rPr>
        <w:tab/>
        <w:t>Th</w:t>
      </w:r>
      <w:r w:rsidR="007059CF">
        <w:rPr>
          <w:bCs/>
        </w:rPr>
        <w:t>is</w:t>
      </w:r>
      <w:r>
        <w:rPr>
          <w:bCs/>
        </w:rPr>
        <w:t xml:space="preserve"> section also notes the internal federal </w:t>
      </w:r>
      <w:r w:rsidR="004B702C">
        <w:rPr>
          <w:bCs/>
        </w:rPr>
        <w:t>review process established by Executive Order 12866.  This process is al</w:t>
      </w:r>
      <w:r w:rsidR="00F83CDB">
        <w:rPr>
          <w:bCs/>
        </w:rPr>
        <w:t>most</w:t>
      </w:r>
      <w:r w:rsidR="004B702C">
        <w:rPr>
          <w:bCs/>
        </w:rPr>
        <w:t xml:space="preserve"> entirely invisible to </w:t>
      </w:r>
      <w:r w:rsidR="00F83CDB">
        <w:rPr>
          <w:bCs/>
        </w:rPr>
        <w:t xml:space="preserve">the public </w:t>
      </w:r>
      <w:r w:rsidR="00611838">
        <w:rPr>
          <w:bCs/>
        </w:rPr>
        <w:t xml:space="preserve">yet extremely </w:t>
      </w:r>
      <w:r w:rsidR="003E31D2">
        <w:rPr>
          <w:bCs/>
        </w:rPr>
        <w:t xml:space="preserve">consequential for the outcome of any federal rulemaking.  </w:t>
      </w:r>
      <w:r w:rsidR="006F0C10">
        <w:rPr>
          <w:bCs/>
        </w:rPr>
        <w:t xml:space="preserve">Instructors might ask students to imagine an </w:t>
      </w:r>
      <w:r w:rsidR="00875774">
        <w:rPr>
          <w:bCs/>
        </w:rPr>
        <w:t xml:space="preserve">EPA </w:t>
      </w:r>
      <w:r w:rsidR="006F0C10">
        <w:rPr>
          <w:bCs/>
        </w:rPr>
        <w:t xml:space="preserve">regulation that may be </w:t>
      </w:r>
      <w:r w:rsidR="00E5761F">
        <w:rPr>
          <w:bCs/>
        </w:rPr>
        <w:t xml:space="preserve">much desired by a particular EJ community.  Now, if EPA </w:t>
      </w:r>
      <w:r w:rsidR="00710D43">
        <w:rPr>
          <w:bCs/>
        </w:rPr>
        <w:t xml:space="preserve">developed </w:t>
      </w:r>
      <w:r w:rsidR="00E5761F">
        <w:rPr>
          <w:bCs/>
        </w:rPr>
        <w:t xml:space="preserve">such a regulation, are there other </w:t>
      </w:r>
      <w:r w:rsidR="00875774">
        <w:rPr>
          <w:bCs/>
        </w:rPr>
        <w:t xml:space="preserve">federal agencies that may oppose it?  What would their interests be?  </w:t>
      </w:r>
      <w:r w:rsidR="004773DD">
        <w:rPr>
          <w:bCs/>
        </w:rPr>
        <w:t xml:space="preserve">Who would decide this conflict between agencies?  </w:t>
      </w:r>
      <w:r w:rsidR="00337E80">
        <w:rPr>
          <w:bCs/>
        </w:rPr>
        <w:t>EO 12866 assigns t</w:t>
      </w:r>
      <w:r w:rsidR="004773DD">
        <w:rPr>
          <w:bCs/>
        </w:rPr>
        <w:t xml:space="preserve">hat intermediary role </w:t>
      </w:r>
      <w:r w:rsidR="00337E80">
        <w:rPr>
          <w:bCs/>
        </w:rPr>
        <w:t>to t</w:t>
      </w:r>
      <w:r w:rsidR="004773DD">
        <w:rPr>
          <w:bCs/>
        </w:rPr>
        <w:t>he White House Office of Information and Regulatory Affairs</w:t>
      </w:r>
      <w:r w:rsidR="00337E80">
        <w:rPr>
          <w:bCs/>
        </w:rPr>
        <w:t xml:space="preserve"> (OIRA).  </w:t>
      </w:r>
      <w:r w:rsidR="00BD5893">
        <w:rPr>
          <w:bCs/>
        </w:rPr>
        <w:t>As noted, OIRA is supposed to complete this review, resolving interagency differences, on a strict timeline</w:t>
      </w:r>
      <w:r w:rsidR="00E946E1">
        <w:rPr>
          <w:bCs/>
        </w:rPr>
        <w:t xml:space="preserve"> of 90 days </w:t>
      </w:r>
      <w:r w:rsidR="003F6A54">
        <w:rPr>
          <w:bCs/>
        </w:rPr>
        <w:t xml:space="preserve">– but it almost never does.  Students and the general public can use the public website </w:t>
      </w:r>
      <w:hyperlink r:id="rId21" w:history="1">
        <w:r w:rsidR="003F6A54" w:rsidRPr="00E619F9">
          <w:rPr>
            <w:rStyle w:val="Hyperlink"/>
            <w:bCs/>
          </w:rPr>
          <w:t>www.reginfo.gov</w:t>
        </w:r>
      </w:hyperlink>
      <w:r w:rsidR="003F6A54">
        <w:rPr>
          <w:bCs/>
        </w:rPr>
        <w:t xml:space="preserve"> to see when proposed rules are transmitted to OIRA and when they are finally released by OIRA</w:t>
      </w:r>
      <w:r w:rsidR="00865AF0">
        <w:rPr>
          <w:bCs/>
        </w:rPr>
        <w:t>.  Sometimes OIRA’s delay effectively kills the proposal, as with the example in Figure 5-1.  Other times, OIRA changes the rule itself as an outcome of negotiations across multiple agencies</w:t>
      </w:r>
      <w:r w:rsidR="003F6A54">
        <w:rPr>
          <w:bCs/>
        </w:rPr>
        <w:t>.</w:t>
      </w:r>
      <w:r w:rsidR="00865AF0">
        <w:rPr>
          <w:bCs/>
        </w:rPr>
        <w:t xml:space="preserve"> </w:t>
      </w:r>
      <w:r w:rsidR="00FC2ACB">
        <w:rPr>
          <w:bCs/>
        </w:rPr>
        <w:t xml:space="preserve">The upshot of this process is </w:t>
      </w:r>
      <w:r w:rsidR="00BF1359">
        <w:rPr>
          <w:bCs/>
        </w:rPr>
        <w:t xml:space="preserve">often environmental injustice, as </w:t>
      </w:r>
      <w:r w:rsidR="006D6D6A">
        <w:rPr>
          <w:bCs/>
        </w:rPr>
        <w:t xml:space="preserve">concerned communities are denied both fair treatment and meaningful involvement in the process.  </w:t>
      </w:r>
      <w:r w:rsidR="00ED604A">
        <w:rPr>
          <w:bCs/>
        </w:rPr>
        <w:t xml:space="preserve">Instructors may then ask students for potential solutions to this injustice.  One solution might be reform of the 12866 process – which President Biden </w:t>
      </w:r>
      <w:r w:rsidR="00BB4053">
        <w:rPr>
          <w:bCs/>
        </w:rPr>
        <w:t xml:space="preserve">did </w:t>
      </w:r>
      <w:r w:rsidR="00ED604A">
        <w:rPr>
          <w:bCs/>
        </w:rPr>
        <w:t>in modest steps before President Trump</w:t>
      </w:r>
      <w:r w:rsidR="005863FD">
        <w:rPr>
          <w:bCs/>
        </w:rPr>
        <w:t xml:space="preserve"> </w:t>
      </w:r>
      <w:r w:rsidR="00CD4227">
        <w:rPr>
          <w:bCs/>
        </w:rPr>
        <w:t xml:space="preserve">rescinded these reforms </w:t>
      </w:r>
      <w:r w:rsidR="005863FD">
        <w:rPr>
          <w:bCs/>
        </w:rPr>
        <w:t>in 2025</w:t>
      </w:r>
      <w:r w:rsidR="00ED604A">
        <w:rPr>
          <w:bCs/>
        </w:rPr>
        <w:t xml:space="preserve">.  Another solution might be </w:t>
      </w:r>
      <w:r w:rsidR="00F60319">
        <w:rPr>
          <w:bCs/>
        </w:rPr>
        <w:t xml:space="preserve">total </w:t>
      </w:r>
      <w:r w:rsidR="00ED604A">
        <w:rPr>
          <w:bCs/>
        </w:rPr>
        <w:t>repeal</w:t>
      </w:r>
      <w:r w:rsidR="00CC2808">
        <w:rPr>
          <w:bCs/>
        </w:rPr>
        <w:t xml:space="preserve"> </w:t>
      </w:r>
      <w:r w:rsidR="00ED604A">
        <w:rPr>
          <w:bCs/>
        </w:rPr>
        <w:t>of Executive Order 12866</w:t>
      </w:r>
      <w:r w:rsidR="00CC2808">
        <w:rPr>
          <w:bCs/>
        </w:rPr>
        <w:t xml:space="preserve">, which would certainly improve government efficiency in rulemaking.  </w:t>
      </w:r>
      <w:r w:rsidR="0092438D">
        <w:rPr>
          <w:bCs/>
        </w:rPr>
        <w:t>Yet a</w:t>
      </w:r>
      <w:r w:rsidR="00CC2808">
        <w:rPr>
          <w:bCs/>
        </w:rPr>
        <w:t xml:space="preserve">nother solution:  </w:t>
      </w:r>
      <w:r w:rsidR="00F60319">
        <w:rPr>
          <w:bCs/>
        </w:rPr>
        <w:t xml:space="preserve">go to work for OIRA, EPA, or other federal agencies, </w:t>
      </w:r>
      <w:r w:rsidR="0092438D">
        <w:rPr>
          <w:bCs/>
        </w:rPr>
        <w:t>and make better decisions in support of environmental justice.</w:t>
      </w:r>
      <w:r w:rsidR="0070589C">
        <w:t xml:space="preserve">         </w:t>
      </w:r>
    </w:p>
    <w:p w14:paraId="4C0D6C8B" w14:textId="77777777" w:rsidR="0070589C" w:rsidRDefault="0070589C" w:rsidP="0070589C">
      <w:pPr>
        <w:pStyle w:val="BodyText"/>
        <w:jc w:val="both"/>
        <w:rPr>
          <w:b/>
          <w:i/>
        </w:rPr>
      </w:pPr>
    </w:p>
    <w:p w14:paraId="3A09E2EB" w14:textId="77777777" w:rsidR="0070589C" w:rsidRPr="00FD2E30" w:rsidRDefault="0070589C" w:rsidP="0070589C">
      <w:pPr>
        <w:pStyle w:val="BodyText"/>
        <w:kinsoku w:val="0"/>
        <w:overflowPunct w:val="0"/>
        <w:jc w:val="center"/>
        <w:rPr>
          <w:b/>
          <w:i/>
          <w:sz w:val="28"/>
          <w:szCs w:val="28"/>
        </w:rPr>
      </w:pPr>
      <w:r w:rsidRPr="00FD2E30">
        <w:rPr>
          <w:b/>
          <w:i/>
          <w:sz w:val="28"/>
          <w:szCs w:val="28"/>
        </w:rPr>
        <w:t>Notes and Questions</w:t>
      </w:r>
    </w:p>
    <w:p w14:paraId="285323B8" w14:textId="77777777" w:rsidR="0070589C" w:rsidRDefault="0070589C" w:rsidP="0070589C">
      <w:pPr>
        <w:pStyle w:val="BodyText"/>
        <w:jc w:val="both"/>
        <w:rPr>
          <w:b/>
          <w:i/>
        </w:rPr>
      </w:pPr>
    </w:p>
    <w:p w14:paraId="188E1539" w14:textId="7EFEE040" w:rsidR="0070589C" w:rsidRPr="00D37338" w:rsidRDefault="0070589C" w:rsidP="0070589C">
      <w:pPr>
        <w:pStyle w:val="BodyText"/>
        <w:kinsoku w:val="0"/>
        <w:overflowPunct w:val="0"/>
        <w:spacing w:before="20"/>
        <w:ind w:right="540" w:firstLine="720"/>
        <w:jc w:val="both"/>
        <w:rPr>
          <w:bCs/>
          <w:iCs/>
        </w:rPr>
      </w:pPr>
      <w:r>
        <w:rPr>
          <w:b/>
          <w:iCs/>
        </w:rPr>
        <w:t xml:space="preserve">1.  </w:t>
      </w:r>
      <w:r w:rsidR="00AE7D62">
        <w:rPr>
          <w:b/>
          <w:iCs/>
        </w:rPr>
        <w:t>Except for good cause?</w:t>
      </w:r>
      <w:r>
        <w:rPr>
          <w:b/>
          <w:iCs/>
        </w:rPr>
        <w:t xml:space="preserve">  </w:t>
      </w:r>
      <w:r w:rsidR="00882271" w:rsidRPr="00882271">
        <w:rPr>
          <w:bCs/>
          <w:iCs/>
        </w:rPr>
        <w:t>Questions posed in this note are m</w:t>
      </w:r>
      <w:r w:rsidR="00882271">
        <w:rPr>
          <w:bCs/>
          <w:iCs/>
        </w:rPr>
        <w:t xml:space="preserve">ostly asked and answered.  </w:t>
      </w:r>
      <w:r w:rsidR="00091B1D">
        <w:rPr>
          <w:bCs/>
          <w:iCs/>
        </w:rPr>
        <w:t xml:space="preserve">In short, if </w:t>
      </w:r>
      <w:r w:rsidR="008C59B4">
        <w:rPr>
          <w:bCs/>
          <w:iCs/>
        </w:rPr>
        <w:t xml:space="preserve">courts allow deregulation without notice-and-comment rulemaking, they should allow re-regulation on the same basis.  </w:t>
      </w:r>
    </w:p>
    <w:p w14:paraId="1DD0FB35" w14:textId="77777777" w:rsidR="0070589C" w:rsidRDefault="0070589C" w:rsidP="0070589C">
      <w:pPr>
        <w:pStyle w:val="BodyText"/>
        <w:kinsoku w:val="0"/>
        <w:overflowPunct w:val="0"/>
        <w:spacing w:before="20"/>
        <w:ind w:left="21" w:right="31"/>
        <w:jc w:val="both"/>
        <w:rPr>
          <w:b/>
          <w:iCs/>
        </w:rPr>
      </w:pPr>
    </w:p>
    <w:p w14:paraId="0A547CF0" w14:textId="77777777" w:rsidR="00730A0A" w:rsidRDefault="0070589C" w:rsidP="0070589C">
      <w:pPr>
        <w:pStyle w:val="BodyText"/>
        <w:kinsoku w:val="0"/>
        <w:overflowPunct w:val="0"/>
        <w:spacing w:before="20"/>
        <w:ind w:left="21" w:right="540" w:firstLine="699"/>
        <w:jc w:val="both"/>
        <w:rPr>
          <w:iCs/>
        </w:rPr>
      </w:pPr>
      <w:r w:rsidRPr="004779B8">
        <w:rPr>
          <w:b/>
          <w:iCs/>
        </w:rPr>
        <w:t>2.</w:t>
      </w:r>
      <w:r>
        <w:rPr>
          <w:b/>
          <w:iCs/>
        </w:rPr>
        <w:t xml:space="preserve"> </w:t>
      </w:r>
      <w:r w:rsidRPr="004779B8">
        <w:rPr>
          <w:b/>
          <w:iCs/>
        </w:rPr>
        <w:t xml:space="preserve"> </w:t>
      </w:r>
      <w:r w:rsidR="00FC0AB3">
        <w:rPr>
          <w:b/>
          <w:iCs/>
        </w:rPr>
        <w:t>Cost-benefit analysis</w:t>
      </w:r>
      <w:r w:rsidRPr="004779B8">
        <w:rPr>
          <w:b/>
          <w:iCs/>
        </w:rPr>
        <w:t>.</w:t>
      </w:r>
      <w:r w:rsidRPr="004779B8">
        <w:rPr>
          <w:iCs/>
        </w:rPr>
        <w:t xml:space="preserve"> </w:t>
      </w:r>
      <w:r>
        <w:rPr>
          <w:iCs/>
        </w:rPr>
        <w:t xml:space="preserve"> </w:t>
      </w:r>
      <w:r w:rsidR="00E54C70">
        <w:rPr>
          <w:iCs/>
        </w:rPr>
        <w:t xml:space="preserve">In addition to internal fighting, Executive Order 12866 </w:t>
      </w:r>
      <w:r w:rsidR="008D35A7">
        <w:rPr>
          <w:iCs/>
        </w:rPr>
        <w:t xml:space="preserve">also requires cost-benefit analysis for most </w:t>
      </w:r>
      <w:r w:rsidR="00133159">
        <w:rPr>
          <w:iCs/>
        </w:rPr>
        <w:t xml:space="preserve">federal rules.  </w:t>
      </w:r>
      <w:r w:rsidR="00F928EE">
        <w:rPr>
          <w:iCs/>
        </w:rPr>
        <w:t xml:space="preserve">While placing a monetary value on </w:t>
      </w:r>
      <w:r w:rsidR="00E42F2E">
        <w:rPr>
          <w:iCs/>
        </w:rPr>
        <w:t xml:space="preserve">a human life (or any living thing) </w:t>
      </w:r>
      <w:r w:rsidR="006F54D6">
        <w:rPr>
          <w:iCs/>
        </w:rPr>
        <w:t>may certainly raise moral questions, economist</w:t>
      </w:r>
      <w:r w:rsidR="007F7749">
        <w:rPr>
          <w:iCs/>
        </w:rPr>
        <w:t>s</w:t>
      </w:r>
      <w:r w:rsidR="006F54D6">
        <w:rPr>
          <w:iCs/>
        </w:rPr>
        <w:t xml:space="preserve"> have b</w:t>
      </w:r>
      <w:r w:rsidR="00E31F69">
        <w:rPr>
          <w:iCs/>
        </w:rPr>
        <w:t>ecome</w:t>
      </w:r>
      <w:r w:rsidR="006F54D6">
        <w:rPr>
          <w:iCs/>
        </w:rPr>
        <w:t xml:space="preserve"> </w:t>
      </w:r>
      <w:r w:rsidR="007F7749">
        <w:rPr>
          <w:iCs/>
        </w:rPr>
        <w:t>increasingly sophisticated in assigning value</w:t>
      </w:r>
      <w:r w:rsidR="003513DC">
        <w:rPr>
          <w:iCs/>
        </w:rPr>
        <w:t xml:space="preserve">s to such abstractions as clean water and ecosystem services.  </w:t>
      </w:r>
      <w:r w:rsidR="00EF41A0">
        <w:rPr>
          <w:iCs/>
        </w:rPr>
        <w:t>As noted, t</w:t>
      </w:r>
      <w:r w:rsidR="00F75AB5">
        <w:rPr>
          <w:iCs/>
        </w:rPr>
        <w:t>he cal</w:t>
      </w:r>
      <w:r w:rsidR="00CF3E1A">
        <w:rPr>
          <w:iCs/>
        </w:rPr>
        <w:t xml:space="preserve">culated benefits </w:t>
      </w:r>
      <w:r w:rsidR="00EF41A0">
        <w:rPr>
          <w:iCs/>
        </w:rPr>
        <w:t xml:space="preserve">for some rules </w:t>
      </w:r>
      <w:r w:rsidR="00CF3E1A">
        <w:rPr>
          <w:iCs/>
        </w:rPr>
        <w:t>are enorm</w:t>
      </w:r>
      <w:r w:rsidR="00EF41A0">
        <w:rPr>
          <w:iCs/>
        </w:rPr>
        <w:t>ous:  $37</w:t>
      </w:r>
      <w:r w:rsidR="00FF0086">
        <w:rPr>
          <w:iCs/>
        </w:rPr>
        <w:t xml:space="preserve">0 billion present value for the Biden rule addressing carbon emissions from </w:t>
      </w:r>
      <w:r w:rsidR="00C46079">
        <w:rPr>
          <w:iCs/>
        </w:rPr>
        <w:t xml:space="preserve">coal- and gas-fired power plants.  </w:t>
      </w:r>
    </w:p>
    <w:p w14:paraId="4425EBB2" w14:textId="2F61D888" w:rsidR="007F3E32" w:rsidRDefault="00CE1361" w:rsidP="0070589C">
      <w:pPr>
        <w:pStyle w:val="BodyText"/>
        <w:kinsoku w:val="0"/>
        <w:overflowPunct w:val="0"/>
        <w:spacing w:before="20"/>
        <w:ind w:left="21" w:right="540" w:firstLine="699"/>
        <w:jc w:val="both"/>
        <w:rPr>
          <w:iCs/>
        </w:rPr>
      </w:pPr>
      <w:r>
        <w:rPr>
          <w:iCs/>
        </w:rPr>
        <w:t xml:space="preserve">For other rules, however, </w:t>
      </w:r>
      <w:r w:rsidR="00DE578E">
        <w:rPr>
          <w:iCs/>
        </w:rPr>
        <w:t xml:space="preserve">the cost-benefit analysis may be even more </w:t>
      </w:r>
      <w:r w:rsidR="008379C2">
        <w:rPr>
          <w:iCs/>
        </w:rPr>
        <w:t>daunting</w:t>
      </w:r>
      <w:r w:rsidR="00DE578E">
        <w:rPr>
          <w:iCs/>
        </w:rPr>
        <w:t xml:space="preserve">.  </w:t>
      </w:r>
      <w:r w:rsidR="00283080">
        <w:rPr>
          <w:iCs/>
        </w:rPr>
        <w:t xml:space="preserve">The hypothetical in this note, concerning “Chemical X,” </w:t>
      </w:r>
      <w:r w:rsidR="00730A0A">
        <w:rPr>
          <w:iCs/>
        </w:rPr>
        <w:t xml:space="preserve">is based upon the real challenge EPA faced in the rulemaking that resulted in </w:t>
      </w:r>
      <w:r w:rsidR="003939F1">
        <w:rPr>
          <w:iCs/>
        </w:rPr>
        <w:t>designating per- and polyfluo</w:t>
      </w:r>
      <w:r w:rsidR="005F354B">
        <w:rPr>
          <w:iCs/>
        </w:rPr>
        <w:t xml:space="preserve">roalkyl substances (PFAS) as a CERCLA hazardous substance in 2024.  </w:t>
      </w:r>
      <w:r w:rsidR="005D09F5">
        <w:rPr>
          <w:iCs/>
        </w:rPr>
        <w:t xml:space="preserve">While science on the health impacts of exposure to PFAS is rapidly developing, so too is technology </w:t>
      </w:r>
      <w:r w:rsidR="00440C6B">
        <w:rPr>
          <w:iCs/>
        </w:rPr>
        <w:t xml:space="preserve">that will allow treatment of this highly </w:t>
      </w:r>
      <w:r w:rsidR="008379C2">
        <w:rPr>
          <w:iCs/>
        </w:rPr>
        <w:t>disperse</w:t>
      </w:r>
      <w:r w:rsidR="00EC3D87">
        <w:rPr>
          <w:iCs/>
        </w:rPr>
        <w:t>d</w:t>
      </w:r>
      <w:r w:rsidR="008379C2">
        <w:rPr>
          <w:iCs/>
        </w:rPr>
        <w:t xml:space="preserve"> and </w:t>
      </w:r>
      <w:r w:rsidR="00440C6B">
        <w:rPr>
          <w:iCs/>
        </w:rPr>
        <w:t xml:space="preserve">persistent contaminant.  </w:t>
      </w:r>
      <w:r w:rsidR="00B8033A">
        <w:rPr>
          <w:iCs/>
        </w:rPr>
        <w:t xml:space="preserve">In addition to these two </w:t>
      </w:r>
      <w:r w:rsidR="00691381">
        <w:rPr>
          <w:iCs/>
        </w:rPr>
        <w:t>wi</w:t>
      </w:r>
      <w:r w:rsidR="002567DA">
        <w:rPr>
          <w:iCs/>
        </w:rPr>
        <w:t>de</w:t>
      </w:r>
      <w:r w:rsidR="00691381">
        <w:rPr>
          <w:iCs/>
        </w:rPr>
        <w:t xml:space="preserve"> </w:t>
      </w:r>
      <w:r w:rsidR="00B8033A">
        <w:rPr>
          <w:iCs/>
        </w:rPr>
        <w:t>variables</w:t>
      </w:r>
      <w:r w:rsidR="00150551">
        <w:rPr>
          <w:iCs/>
        </w:rPr>
        <w:t xml:space="preserve"> of science and technology</w:t>
      </w:r>
      <w:r w:rsidR="00B8033A">
        <w:rPr>
          <w:iCs/>
        </w:rPr>
        <w:t xml:space="preserve">, assessment of the total costs of cleaning up PFAS contamination assumes </w:t>
      </w:r>
      <w:r w:rsidR="00992B6B">
        <w:rPr>
          <w:iCs/>
        </w:rPr>
        <w:t xml:space="preserve">knowledge of every site in the country </w:t>
      </w:r>
      <w:r w:rsidR="00D10DE8">
        <w:rPr>
          <w:iCs/>
        </w:rPr>
        <w:t xml:space="preserve">(potentially thousands) </w:t>
      </w:r>
      <w:r w:rsidR="00992B6B">
        <w:rPr>
          <w:iCs/>
        </w:rPr>
        <w:t xml:space="preserve">where PFAS must be addressed and the total cost of cleanup at every site.  </w:t>
      </w:r>
      <w:r w:rsidR="00725886">
        <w:rPr>
          <w:iCs/>
        </w:rPr>
        <w:t xml:space="preserve">All of this </w:t>
      </w:r>
      <w:r w:rsidR="00691381">
        <w:rPr>
          <w:iCs/>
        </w:rPr>
        <w:t xml:space="preserve">makes cost-benefit analysis in this context </w:t>
      </w:r>
      <w:r w:rsidR="00BB1612">
        <w:rPr>
          <w:iCs/>
        </w:rPr>
        <w:t xml:space="preserve">particularly </w:t>
      </w:r>
      <w:r w:rsidR="00406728">
        <w:rPr>
          <w:iCs/>
        </w:rPr>
        <w:t>challenging</w:t>
      </w:r>
      <w:r w:rsidR="00691381">
        <w:rPr>
          <w:iCs/>
        </w:rPr>
        <w:t xml:space="preserve">.  </w:t>
      </w:r>
    </w:p>
    <w:p w14:paraId="7541EF60" w14:textId="56013BD8" w:rsidR="0070589C" w:rsidRDefault="00263F01" w:rsidP="0070589C">
      <w:pPr>
        <w:pStyle w:val="BodyText"/>
        <w:kinsoku w:val="0"/>
        <w:overflowPunct w:val="0"/>
        <w:spacing w:before="20"/>
        <w:ind w:left="21" w:right="540" w:firstLine="699"/>
        <w:jc w:val="both"/>
      </w:pPr>
      <w:r>
        <w:rPr>
          <w:iCs/>
        </w:rPr>
        <w:t xml:space="preserve">And yet, EPA economists did </w:t>
      </w:r>
      <w:r w:rsidR="007B160D">
        <w:rPr>
          <w:iCs/>
        </w:rPr>
        <w:t>solid work</w:t>
      </w:r>
      <w:r>
        <w:rPr>
          <w:iCs/>
        </w:rPr>
        <w:t xml:space="preserve"> to assess </w:t>
      </w:r>
      <w:r w:rsidR="00C2313A">
        <w:rPr>
          <w:iCs/>
        </w:rPr>
        <w:t xml:space="preserve">the costs and benefits in this context and </w:t>
      </w:r>
      <w:r w:rsidR="00BE47E9">
        <w:rPr>
          <w:iCs/>
        </w:rPr>
        <w:t xml:space="preserve">released that assessment in the </w:t>
      </w:r>
      <w:r w:rsidR="00A673A3">
        <w:rPr>
          <w:iCs/>
        </w:rPr>
        <w:t>record a</w:t>
      </w:r>
      <w:r w:rsidR="00BE47E9">
        <w:rPr>
          <w:iCs/>
        </w:rPr>
        <w:t xml:space="preserve">ccompanying the rule. </w:t>
      </w:r>
      <w:r w:rsidR="00A673A3">
        <w:rPr>
          <w:iCs/>
        </w:rPr>
        <w:t xml:space="preserve"> </w:t>
      </w:r>
      <w:r w:rsidR="00657E71">
        <w:rPr>
          <w:iCs/>
        </w:rPr>
        <w:t xml:space="preserve">After reviewing </w:t>
      </w:r>
      <w:r w:rsidR="00657E71">
        <w:rPr>
          <w:iCs/>
        </w:rPr>
        <w:lastRenderedPageBreak/>
        <w:t xml:space="preserve">the broad spectrum of potential health impacts of PFAS exposure, including </w:t>
      </w:r>
      <w:r w:rsidR="00A72496">
        <w:rPr>
          <w:iCs/>
        </w:rPr>
        <w:t xml:space="preserve">infant development, </w:t>
      </w:r>
      <w:r w:rsidR="00236321">
        <w:rPr>
          <w:iCs/>
        </w:rPr>
        <w:t xml:space="preserve">cardiovascular effects, and kidney cancer, plus the potential costs associated with </w:t>
      </w:r>
      <w:r w:rsidR="003165A2">
        <w:rPr>
          <w:iCs/>
        </w:rPr>
        <w:t xml:space="preserve">responding to PFAS contamination, including the potential costs for treating individual drinking water wells to </w:t>
      </w:r>
      <w:r w:rsidR="00E835F1">
        <w:rPr>
          <w:iCs/>
        </w:rPr>
        <w:t xml:space="preserve">different levels, EPA </w:t>
      </w:r>
      <w:r w:rsidR="000E12BF">
        <w:rPr>
          <w:iCs/>
        </w:rPr>
        <w:t>applied a “totality of the circumstances analysis” to c</w:t>
      </w:r>
      <w:r w:rsidR="006C3DCC">
        <w:rPr>
          <w:iCs/>
        </w:rPr>
        <w:t xml:space="preserve">onclude that “An analysis of the advantages and disadvantages </w:t>
      </w:r>
      <w:r w:rsidR="00517194">
        <w:rPr>
          <w:iCs/>
        </w:rPr>
        <w:t xml:space="preserve">of designation, including weighing of </w:t>
      </w:r>
      <w:r w:rsidR="006A3390">
        <w:rPr>
          <w:iCs/>
        </w:rPr>
        <w:t>quantitative and qualitative benefits and costs, demonstrates that the advantages outweigh the disadvantages.”  89 Fed. Reg. 39</w:t>
      </w:r>
      <w:r w:rsidR="001600AA">
        <w:rPr>
          <w:iCs/>
        </w:rPr>
        <w:t xml:space="preserve">155-164 (May 8, 2024).  </w:t>
      </w:r>
      <w:r w:rsidR="00A6191E">
        <w:rPr>
          <w:iCs/>
        </w:rPr>
        <w:t xml:space="preserve">In the alternative, to fail to </w:t>
      </w:r>
      <w:r w:rsidR="007F3E32">
        <w:rPr>
          <w:iCs/>
        </w:rPr>
        <w:t>designate</w:t>
      </w:r>
      <w:r w:rsidR="00A6191E">
        <w:rPr>
          <w:iCs/>
        </w:rPr>
        <w:t xml:space="preserve"> PFAS </w:t>
      </w:r>
      <w:r w:rsidR="00AA135A">
        <w:rPr>
          <w:iCs/>
        </w:rPr>
        <w:t xml:space="preserve">as a CERCLA hazardous substance would </w:t>
      </w:r>
      <w:r w:rsidR="0062211B">
        <w:rPr>
          <w:iCs/>
        </w:rPr>
        <w:t>leave EPA with almost no authority to address PFAS anywhere, perpetuating a serious threat to human health and the environment</w:t>
      </w:r>
      <w:r w:rsidR="0070589C">
        <w:t>.</w:t>
      </w:r>
    </w:p>
    <w:p w14:paraId="189420F4" w14:textId="67E28160" w:rsidR="00AA3D42" w:rsidRDefault="00AA3D42" w:rsidP="0070589C">
      <w:pPr>
        <w:pStyle w:val="BodyText"/>
        <w:kinsoku w:val="0"/>
        <w:overflowPunct w:val="0"/>
        <w:spacing w:before="20"/>
        <w:ind w:left="21" w:right="540" w:firstLine="699"/>
        <w:jc w:val="both"/>
      </w:pPr>
      <w:r>
        <w:t xml:space="preserve">In September 2025, the Trump EPA announced that it would </w:t>
      </w:r>
      <w:r w:rsidR="00BB4A62" w:rsidRPr="00B969A2">
        <w:rPr>
          <w:i/>
          <w:iCs/>
        </w:rPr>
        <w:t>not</w:t>
      </w:r>
      <w:r w:rsidR="00BB4A62">
        <w:t xml:space="preserve"> seek to repeal the CERCLA PFAS designation and would defend the final rule in court.  </w:t>
      </w:r>
      <w:r w:rsidR="004E03BA">
        <w:t xml:space="preserve">See </w:t>
      </w:r>
      <w:hyperlink r:id="rId22" w:history="1">
        <w:r w:rsidR="00825A01" w:rsidRPr="00497A9F">
          <w:rPr>
            <w:rStyle w:val="Hyperlink"/>
          </w:rPr>
          <w:t>https://www.epa.gov/newsreleases/trump-epa-announces-next-steps-regulatory-pfoa-and-pfos-cleanup-efforts-provides</w:t>
        </w:r>
      </w:hyperlink>
      <w:r w:rsidR="00825A01">
        <w:t xml:space="preserve">. </w:t>
      </w:r>
      <w:r w:rsidR="00BB4A62">
        <w:t xml:space="preserve">At the same time, EPA also announced that it would begin work on a “Framework </w:t>
      </w:r>
      <w:r w:rsidR="001445E3">
        <w:t xml:space="preserve">Rule” to help guide future hazardous substance designation.  Instructors may want to follow development of this Framework Rule as it moves forward.  </w:t>
      </w:r>
    </w:p>
    <w:p w14:paraId="7D892EE1" w14:textId="77777777" w:rsidR="0070589C" w:rsidRDefault="0070589C" w:rsidP="0070589C">
      <w:pPr>
        <w:pStyle w:val="BodyText"/>
        <w:kinsoku w:val="0"/>
        <w:overflowPunct w:val="0"/>
        <w:spacing w:before="20"/>
        <w:ind w:right="31"/>
        <w:jc w:val="both"/>
        <w:rPr>
          <w:iCs/>
        </w:rPr>
      </w:pPr>
    </w:p>
    <w:p w14:paraId="73DD77B1" w14:textId="12E3A405" w:rsidR="0070589C" w:rsidRPr="00380E35" w:rsidRDefault="00841895" w:rsidP="00825A01">
      <w:pPr>
        <w:pStyle w:val="BodyText"/>
        <w:kinsoku w:val="0"/>
        <w:overflowPunct w:val="0"/>
        <w:spacing w:before="20"/>
        <w:ind w:right="540" w:firstLine="720"/>
        <w:jc w:val="both"/>
        <w:rPr>
          <w:b/>
          <w:i/>
          <w:iCs/>
        </w:rPr>
      </w:pPr>
      <w:r>
        <w:rPr>
          <w:b/>
          <w:bCs/>
          <w:iCs/>
        </w:rPr>
        <w:t>D</w:t>
      </w:r>
      <w:r w:rsidR="0070589C" w:rsidRPr="00D37338">
        <w:rPr>
          <w:b/>
          <w:bCs/>
          <w:iCs/>
        </w:rPr>
        <w:t xml:space="preserve">.  </w:t>
      </w:r>
      <w:r>
        <w:rPr>
          <w:b/>
          <w:bCs/>
          <w:iCs/>
        </w:rPr>
        <w:t>State and Tribal Regulations</w:t>
      </w:r>
      <w:r w:rsidR="0070589C">
        <w:rPr>
          <w:b/>
          <w:bCs/>
          <w:iCs/>
        </w:rPr>
        <w:t xml:space="preserve">.  </w:t>
      </w:r>
      <w:r w:rsidR="0070589C">
        <w:rPr>
          <w:iCs/>
        </w:rPr>
        <w:t>Th</w:t>
      </w:r>
      <w:r w:rsidR="00B21455">
        <w:rPr>
          <w:iCs/>
        </w:rPr>
        <w:t xml:space="preserve">is section begins with a long excerpt from a case decided </w:t>
      </w:r>
      <w:r w:rsidR="00ED15B7">
        <w:rPr>
          <w:iCs/>
        </w:rPr>
        <w:t xml:space="preserve">by the Missouri Court of Appeals.  </w:t>
      </w:r>
      <w:r w:rsidR="006854B3">
        <w:rPr>
          <w:iCs/>
        </w:rPr>
        <w:t xml:space="preserve">The case is included in the book </w:t>
      </w:r>
      <w:r w:rsidR="00333E94">
        <w:rPr>
          <w:iCs/>
        </w:rPr>
        <w:t xml:space="preserve">primarily to illustrate </w:t>
      </w:r>
      <w:r w:rsidR="006854B3">
        <w:rPr>
          <w:iCs/>
        </w:rPr>
        <w:t xml:space="preserve">the </w:t>
      </w:r>
      <w:r w:rsidR="00592DBD">
        <w:rPr>
          <w:iCs/>
        </w:rPr>
        <w:t>potential for state regulations to address concerns beyond federal regulation</w:t>
      </w:r>
      <w:r w:rsidR="00333E94">
        <w:rPr>
          <w:iCs/>
        </w:rPr>
        <w:t xml:space="preserve">, even in a “red state.”  </w:t>
      </w:r>
      <w:r w:rsidR="00F54990">
        <w:rPr>
          <w:iCs/>
        </w:rPr>
        <w:t xml:space="preserve">Depending on </w:t>
      </w:r>
      <w:r w:rsidR="00BD5C06">
        <w:rPr>
          <w:iCs/>
        </w:rPr>
        <w:t xml:space="preserve">interests and </w:t>
      </w:r>
      <w:r w:rsidR="00F54990">
        <w:rPr>
          <w:iCs/>
        </w:rPr>
        <w:t>ambition, i</w:t>
      </w:r>
      <w:r w:rsidR="00ED15B7">
        <w:rPr>
          <w:iCs/>
        </w:rPr>
        <w:t xml:space="preserve">nstructors may choose to omit this case from assigned reading </w:t>
      </w:r>
      <w:r w:rsidR="006854B3">
        <w:rPr>
          <w:iCs/>
        </w:rPr>
        <w:t xml:space="preserve">and class discussion.  </w:t>
      </w:r>
    </w:p>
    <w:p w14:paraId="19CC9BA6" w14:textId="77777777" w:rsidR="0070589C" w:rsidRDefault="0070589C" w:rsidP="0070589C">
      <w:pPr>
        <w:pStyle w:val="BodyText"/>
        <w:jc w:val="both"/>
      </w:pPr>
    </w:p>
    <w:p w14:paraId="597BF37D" w14:textId="77777777" w:rsidR="0070589C" w:rsidRPr="00FD2E30" w:rsidRDefault="0070589C" w:rsidP="0070589C">
      <w:pPr>
        <w:pStyle w:val="BodyText"/>
        <w:kinsoku w:val="0"/>
        <w:overflowPunct w:val="0"/>
        <w:jc w:val="center"/>
        <w:rPr>
          <w:b/>
          <w:i/>
          <w:sz w:val="28"/>
          <w:szCs w:val="28"/>
        </w:rPr>
      </w:pPr>
      <w:r w:rsidRPr="00FD2E30">
        <w:rPr>
          <w:b/>
          <w:i/>
          <w:sz w:val="28"/>
          <w:szCs w:val="28"/>
        </w:rPr>
        <w:t>Notes and Questions</w:t>
      </w:r>
    </w:p>
    <w:p w14:paraId="0338E77E" w14:textId="77777777" w:rsidR="0070589C" w:rsidRDefault="0070589C" w:rsidP="0070589C">
      <w:pPr>
        <w:pStyle w:val="BodyText"/>
        <w:jc w:val="both"/>
      </w:pPr>
    </w:p>
    <w:p w14:paraId="39158186" w14:textId="2518D9F1" w:rsidR="0070589C" w:rsidRPr="00EA4D50" w:rsidRDefault="0070589C" w:rsidP="0070589C">
      <w:pPr>
        <w:pStyle w:val="BodyText"/>
        <w:kinsoku w:val="0"/>
        <w:overflowPunct w:val="0"/>
        <w:spacing w:before="20"/>
        <w:ind w:left="21" w:right="540" w:firstLine="699"/>
        <w:jc w:val="both"/>
        <w:rPr>
          <w:bCs/>
        </w:rPr>
      </w:pPr>
      <w:bookmarkStart w:id="23" w:name="Page_81"/>
      <w:bookmarkEnd w:id="23"/>
      <w:r w:rsidRPr="004779B8">
        <w:rPr>
          <w:b/>
        </w:rPr>
        <w:t xml:space="preserve">1.  </w:t>
      </w:r>
      <w:r w:rsidR="00FE1B12">
        <w:rPr>
          <w:b/>
        </w:rPr>
        <w:t>Cost-benefit analysis</w:t>
      </w:r>
      <w:r w:rsidR="00B274CF">
        <w:rPr>
          <w:b/>
        </w:rPr>
        <w:t>?</w:t>
      </w:r>
      <w:r w:rsidR="00EA4D50">
        <w:rPr>
          <w:b/>
        </w:rPr>
        <w:t xml:space="preserve">  </w:t>
      </w:r>
      <w:r w:rsidR="00EA4D50">
        <w:rPr>
          <w:bCs/>
        </w:rPr>
        <w:t xml:space="preserve">According to the court, </w:t>
      </w:r>
      <w:r w:rsidR="00EA4D50" w:rsidRPr="00EA4D50">
        <w:rPr>
          <w:bCs/>
        </w:rPr>
        <w:t>Missouri’s fiscal note requirements</w:t>
      </w:r>
      <w:r w:rsidRPr="00EA4D50">
        <w:rPr>
          <w:bCs/>
        </w:rPr>
        <w:t xml:space="preserve"> </w:t>
      </w:r>
      <w:r w:rsidR="00EA4D50">
        <w:rPr>
          <w:bCs/>
        </w:rPr>
        <w:t>serve the “dua</w:t>
      </w:r>
      <w:r w:rsidR="009C417D">
        <w:rPr>
          <w:bCs/>
        </w:rPr>
        <w:t xml:space="preserve">l purpose” of </w:t>
      </w:r>
      <w:r w:rsidR="00780A11">
        <w:rPr>
          <w:bCs/>
        </w:rPr>
        <w:t xml:space="preserve">(1) </w:t>
      </w:r>
      <w:r w:rsidR="009C417D">
        <w:rPr>
          <w:bCs/>
        </w:rPr>
        <w:t xml:space="preserve">ensuring that agencies </w:t>
      </w:r>
      <w:r w:rsidR="00780A11">
        <w:rPr>
          <w:bCs/>
        </w:rPr>
        <w:t xml:space="preserve">“consider and comprehensively estimate the full range of costs involved” with the proposal </w:t>
      </w:r>
      <w:r w:rsidR="009D35E6">
        <w:rPr>
          <w:bCs/>
        </w:rPr>
        <w:t xml:space="preserve">and (2) giving “potentially affected entities notice of the estimated financial impact a given rule might have on them.”  </w:t>
      </w:r>
      <w:r w:rsidR="00A61197">
        <w:rPr>
          <w:bCs/>
        </w:rPr>
        <w:t xml:space="preserve">Both of these purposes may also be satisfied </w:t>
      </w:r>
      <w:r w:rsidR="00685C73">
        <w:rPr>
          <w:bCs/>
        </w:rPr>
        <w:t>by</w:t>
      </w:r>
      <w:r w:rsidR="00A61197">
        <w:rPr>
          <w:bCs/>
        </w:rPr>
        <w:t xml:space="preserve"> the federal requirement for cost-benefit analysis </w:t>
      </w:r>
      <w:r w:rsidR="00685C73">
        <w:rPr>
          <w:bCs/>
        </w:rPr>
        <w:t xml:space="preserve">established by EO 12866.  However, </w:t>
      </w:r>
      <w:r w:rsidR="00244B79">
        <w:rPr>
          <w:bCs/>
        </w:rPr>
        <w:t xml:space="preserve">Missouri’s </w:t>
      </w:r>
      <w:r w:rsidR="00685C73">
        <w:rPr>
          <w:bCs/>
        </w:rPr>
        <w:t xml:space="preserve">notice requirement in particular may or may not be served </w:t>
      </w:r>
      <w:r w:rsidR="00244B79">
        <w:rPr>
          <w:bCs/>
        </w:rPr>
        <w:t xml:space="preserve">well </w:t>
      </w:r>
      <w:r w:rsidR="00685C73">
        <w:rPr>
          <w:bCs/>
        </w:rPr>
        <w:t>by the federal process</w:t>
      </w:r>
      <w:r w:rsidR="00244B79">
        <w:rPr>
          <w:bCs/>
        </w:rPr>
        <w:t xml:space="preserve">, </w:t>
      </w:r>
      <w:r w:rsidR="00E46B88">
        <w:rPr>
          <w:bCs/>
        </w:rPr>
        <w:t xml:space="preserve">as costs in </w:t>
      </w:r>
      <w:r w:rsidR="00D8253E">
        <w:rPr>
          <w:bCs/>
        </w:rPr>
        <w:t>federal cost-benefit analysis</w:t>
      </w:r>
      <w:r w:rsidR="00E46B88">
        <w:rPr>
          <w:bCs/>
        </w:rPr>
        <w:t xml:space="preserve"> may be broadly aggregated or qualitative, providing little notice to </w:t>
      </w:r>
      <w:r w:rsidR="00D8253E">
        <w:rPr>
          <w:bCs/>
        </w:rPr>
        <w:t>potentially affected entities. One exception may be the case where a</w:t>
      </w:r>
      <w:r w:rsidR="004F0BEC">
        <w:rPr>
          <w:bCs/>
        </w:rPr>
        <w:t xml:space="preserve"> </w:t>
      </w:r>
      <w:r w:rsidR="00D8253E">
        <w:rPr>
          <w:bCs/>
        </w:rPr>
        <w:t>federal rulemaking applies to a limit set of regulated entities</w:t>
      </w:r>
      <w:r w:rsidR="004F0BEC">
        <w:rPr>
          <w:bCs/>
        </w:rPr>
        <w:t xml:space="preserve">.  This exception is amply illustrated in the case study from Cancer Alley that concludes this chapter, with regulation of </w:t>
      </w:r>
      <w:r w:rsidR="006C244E">
        <w:rPr>
          <w:bCs/>
        </w:rPr>
        <w:t xml:space="preserve">neoprene production under the HON rule limited to exactly one </w:t>
      </w:r>
      <w:r w:rsidR="00483BAE">
        <w:rPr>
          <w:bCs/>
        </w:rPr>
        <w:t xml:space="preserve">mass </w:t>
      </w:r>
      <w:r w:rsidR="006C244E">
        <w:rPr>
          <w:bCs/>
        </w:rPr>
        <w:t>producer of neoprene in the United States.</w:t>
      </w:r>
    </w:p>
    <w:p w14:paraId="19E574A6" w14:textId="77777777" w:rsidR="000D1A2F" w:rsidRDefault="000D1A2F" w:rsidP="0070589C">
      <w:pPr>
        <w:pStyle w:val="BodyText"/>
        <w:kinsoku w:val="0"/>
        <w:overflowPunct w:val="0"/>
        <w:spacing w:before="20"/>
        <w:ind w:left="21" w:right="540" w:firstLine="699"/>
        <w:jc w:val="both"/>
      </w:pPr>
    </w:p>
    <w:p w14:paraId="581D7B51" w14:textId="6F0C2E55" w:rsidR="00FE1B12" w:rsidRDefault="00DB7D1F" w:rsidP="00DB7D1F">
      <w:pPr>
        <w:pStyle w:val="BodyText"/>
        <w:kinsoku w:val="0"/>
        <w:overflowPunct w:val="0"/>
        <w:spacing w:before="20"/>
        <w:ind w:right="540" w:firstLine="720"/>
        <w:jc w:val="both"/>
      </w:pPr>
      <w:r>
        <w:rPr>
          <w:b/>
          <w:bCs/>
        </w:rPr>
        <w:t xml:space="preserve">2.  </w:t>
      </w:r>
      <w:r w:rsidR="000D1A2F" w:rsidRPr="000D1A2F">
        <w:rPr>
          <w:b/>
          <w:bCs/>
        </w:rPr>
        <w:t>Odor control.</w:t>
      </w:r>
      <w:r w:rsidR="000D1A2F">
        <w:t xml:space="preserve"> </w:t>
      </w:r>
      <w:r w:rsidR="007C49F2">
        <w:t xml:space="preserve">This note is mostly self-explanatory.  </w:t>
      </w:r>
      <w:r w:rsidR="00BD0C49">
        <w:t xml:space="preserve">Note that after the verdict for plaintiffs in </w:t>
      </w:r>
      <w:r w:rsidR="00BD0C49" w:rsidRPr="00D96F5B">
        <w:rPr>
          <w:i/>
          <w:iCs/>
        </w:rPr>
        <w:t>McKiver</w:t>
      </w:r>
      <w:r w:rsidR="00BD0C49">
        <w:t xml:space="preserve">, the North Carolina </w:t>
      </w:r>
      <w:r w:rsidR="00D96F5B">
        <w:t xml:space="preserve">state legislature </w:t>
      </w:r>
      <w:r w:rsidR="00BD0C49">
        <w:t xml:space="preserve">changed the law – over the Governor’s veto – to make it harder for </w:t>
      </w:r>
      <w:r>
        <w:t>future plaintiffs to bring nuisance cases aga</w:t>
      </w:r>
      <w:r w:rsidR="00D96F5B">
        <w:t xml:space="preserve">inst </w:t>
      </w:r>
      <w:r>
        <w:t xml:space="preserve">farms.  See </w:t>
      </w:r>
      <w:hyperlink r:id="rId23" w:history="1">
        <w:r w:rsidRPr="00497A9F">
          <w:rPr>
            <w:rStyle w:val="Hyperlink"/>
          </w:rPr>
          <w:t>https://www.calt.iastate.edu/article/update-right-farm-legislation-cases-and-constitutional-amendments</w:t>
        </w:r>
      </w:hyperlink>
      <w:r>
        <w:t xml:space="preserve">. </w:t>
      </w:r>
    </w:p>
    <w:p w14:paraId="0916C6BB" w14:textId="580A088D" w:rsidR="0070589C" w:rsidRDefault="0071337F" w:rsidP="00AD41B3">
      <w:pPr>
        <w:pStyle w:val="BodyText"/>
        <w:kinsoku w:val="0"/>
        <w:overflowPunct w:val="0"/>
        <w:spacing w:before="20"/>
        <w:ind w:right="540" w:firstLine="720"/>
        <w:jc w:val="both"/>
      </w:pPr>
      <w:r w:rsidRPr="00AD41B3">
        <w:rPr>
          <w:b/>
          <w:bCs/>
        </w:rPr>
        <w:t>3.  Identical twins?</w:t>
      </w:r>
      <w:r>
        <w:t xml:space="preserve">  </w:t>
      </w:r>
      <w:r w:rsidR="001C1EB1">
        <w:t xml:space="preserve">Given the </w:t>
      </w:r>
      <w:r w:rsidR="00D550FF">
        <w:t xml:space="preserve">varying approaches that states have taken to whether or not </w:t>
      </w:r>
      <w:r w:rsidR="00B3589F">
        <w:t xml:space="preserve">state standards may be more stringent than federal standards, instructors may want to ask students to research the analogous laws in their own </w:t>
      </w:r>
      <w:r w:rsidR="00AD41B3">
        <w:t>state.</w:t>
      </w:r>
      <w:r w:rsidR="00E90A76">
        <w:t xml:space="preserve">  Do they follow the Missouri </w:t>
      </w:r>
      <w:r w:rsidR="00E90A76">
        <w:lastRenderedPageBreak/>
        <w:t xml:space="preserve">model?  New Jersey?  Or maybe like Florida, somewhere </w:t>
      </w:r>
      <w:r w:rsidR="009A7B6A">
        <w:t>in between?</w:t>
      </w:r>
    </w:p>
    <w:p w14:paraId="7BD3D652" w14:textId="77777777" w:rsidR="008223F6" w:rsidRDefault="008223F6" w:rsidP="0070589C">
      <w:pPr>
        <w:pStyle w:val="BodyText"/>
      </w:pPr>
    </w:p>
    <w:p w14:paraId="7BE084C6" w14:textId="77777777" w:rsidR="00CF3C4C" w:rsidRDefault="008223F6" w:rsidP="008223F6">
      <w:pPr>
        <w:pStyle w:val="BodyText"/>
        <w:ind w:right="540" w:firstLine="720"/>
        <w:jc w:val="both"/>
      </w:pPr>
      <w:r w:rsidRPr="00B72E5C">
        <w:rPr>
          <w:b/>
          <w:bCs/>
        </w:rPr>
        <w:t>City of Albuquerque v. Browner</w:t>
      </w:r>
      <w:r w:rsidR="00B72E5C">
        <w:t xml:space="preserve"> (10</w:t>
      </w:r>
      <w:r w:rsidR="00B72E5C" w:rsidRPr="00B72E5C">
        <w:rPr>
          <w:vertAlign w:val="superscript"/>
        </w:rPr>
        <w:t>th</w:t>
      </w:r>
      <w:r w:rsidR="00B72E5C">
        <w:t xml:space="preserve"> Cir. </w:t>
      </w:r>
      <w:r w:rsidR="00940227">
        <w:t xml:space="preserve">1996) represents a major </w:t>
      </w:r>
      <w:r w:rsidR="00576FEF">
        <w:t xml:space="preserve">advance for </w:t>
      </w:r>
      <w:r w:rsidR="00022E29">
        <w:t>environmental regulations established by tribe</w:t>
      </w:r>
      <w:r w:rsidR="00877564">
        <w:t xml:space="preserve">s, based upon the first water quality standards set by </w:t>
      </w:r>
      <w:r w:rsidR="00057927">
        <w:t xml:space="preserve">the first federally recognized tribes to receive “Treatment as State” status from the EPA.  TAS will be explored in depth in Chapter 9.  For </w:t>
      </w:r>
      <w:r w:rsidR="00BF0ED7">
        <w:t xml:space="preserve">now, note that tribal standards – like state standards – more be more stringent than the analogous federal standards.  </w:t>
      </w:r>
      <w:r w:rsidR="002E0EB5">
        <w:t xml:space="preserve">Tribal standards may also be more stringent than the standards of a surrounding or upstream state, </w:t>
      </w:r>
      <w:r w:rsidR="00B8047E">
        <w:t xml:space="preserve">which is exactly what the Tenth Circuit decision confirmed. </w:t>
      </w:r>
      <w:r w:rsidR="004A455F">
        <w:t xml:space="preserve">Instructors might note the irony of the city’s argument that the tribal standards “are not stringent enough” </w:t>
      </w:r>
      <w:r w:rsidR="00B26B55">
        <w:t xml:space="preserve">to protect the Tribe’s designated use standard of “primary contact ceremonial use,” which may include “incidental ingestion.”  </w:t>
      </w:r>
      <w:r w:rsidR="009F574A">
        <w:t xml:space="preserve">Would the city have preferred even more stringent standards that their wastewater </w:t>
      </w:r>
      <w:r w:rsidR="00CF3C4C">
        <w:t xml:space="preserve">treatment </w:t>
      </w:r>
      <w:r w:rsidR="009F574A">
        <w:t xml:space="preserve">system must meet?  </w:t>
      </w:r>
      <w:r w:rsidR="00B8047E">
        <w:t xml:space="preserve"> </w:t>
      </w:r>
    </w:p>
    <w:p w14:paraId="5E71B76A" w14:textId="77777777" w:rsidR="008923F6" w:rsidRDefault="0035088D" w:rsidP="008223F6">
      <w:pPr>
        <w:pStyle w:val="BodyText"/>
        <w:ind w:right="540" w:firstLine="720"/>
        <w:jc w:val="both"/>
      </w:pPr>
      <w:r>
        <w:t xml:space="preserve">The court appears to accord deference to the Tribe’s </w:t>
      </w:r>
      <w:r w:rsidR="00503834">
        <w:t xml:space="preserve">ceremonial use standard </w:t>
      </w:r>
      <w:r w:rsidR="001775AC">
        <w:t xml:space="preserve">and explicitly accords “substantial deference” </w:t>
      </w:r>
      <w:r w:rsidR="00503834">
        <w:t xml:space="preserve">to EPA’s </w:t>
      </w:r>
      <w:r w:rsidR="00DA347D">
        <w:t xml:space="preserve">approval of the tribal standard.  Would this deference survive </w:t>
      </w:r>
      <w:r w:rsidR="008923F6">
        <w:t xml:space="preserve">judicial review today under </w:t>
      </w:r>
      <w:r w:rsidR="008923F6" w:rsidRPr="008923F6">
        <w:rPr>
          <w:i/>
          <w:iCs/>
        </w:rPr>
        <w:t>Loper Bright</w:t>
      </w:r>
      <w:r w:rsidR="008923F6">
        <w:t>?</w:t>
      </w:r>
    </w:p>
    <w:p w14:paraId="164E1C5A" w14:textId="73C328C2" w:rsidR="000E1039" w:rsidRDefault="000E1039" w:rsidP="008223F6">
      <w:pPr>
        <w:pStyle w:val="BodyText"/>
        <w:ind w:right="540" w:firstLine="720"/>
        <w:jc w:val="both"/>
      </w:pPr>
      <w:r>
        <w:t xml:space="preserve">Note further the </w:t>
      </w:r>
      <w:r w:rsidR="00D22834">
        <w:t xml:space="preserve">city’s challenge to the tribal standards based upon </w:t>
      </w:r>
      <w:r>
        <w:t xml:space="preserve">the Establishment Clause. </w:t>
      </w:r>
      <w:r w:rsidR="00D22834">
        <w:t xml:space="preserve"> Instructors might ask students to </w:t>
      </w:r>
      <w:r w:rsidR="003A35ED">
        <w:t xml:space="preserve">explain and consider this challenge and the court’s conclusion on this issue.  </w:t>
      </w:r>
      <w:r w:rsidR="00C01194">
        <w:t xml:space="preserve">Note that </w:t>
      </w:r>
      <w:r w:rsidR="0086333B">
        <w:t xml:space="preserve">the </w:t>
      </w:r>
      <w:r w:rsidR="00961F56" w:rsidRPr="00961F56">
        <w:rPr>
          <w:i/>
          <w:iCs/>
        </w:rPr>
        <w:t>Lemon</w:t>
      </w:r>
      <w:r w:rsidR="00961F56">
        <w:t xml:space="preserve"> test no longer appears </w:t>
      </w:r>
      <w:r w:rsidR="0086333B">
        <w:t>applicable for Establishment Clause challenges after more recent Supreme Court cases</w:t>
      </w:r>
      <w:r w:rsidR="00D45817">
        <w:t xml:space="preserve">.  </w:t>
      </w:r>
      <w:r w:rsidR="00D45817" w:rsidRPr="00CE2A48">
        <w:rPr>
          <w:i/>
          <w:iCs/>
        </w:rPr>
        <w:t>See, e.g.,</w:t>
      </w:r>
      <w:r w:rsidR="00D45817">
        <w:t xml:space="preserve"> </w:t>
      </w:r>
      <w:r w:rsidR="000D3BEA">
        <w:t xml:space="preserve">American Legion v. American Humanist Ass’n, </w:t>
      </w:r>
      <w:r w:rsidR="00CE2A48">
        <w:t xml:space="preserve">588 U.S. 29 </w:t>
      </w:r>
      <w:r w:rsidR="000D3BEA">
        <w:t xml:space="preserve">(2019).  </w:t>
      </w:r>
      <w:r w:rsidR="00633017">
        <w:t xml:space="preserve">Without the </w:t>
      </w:r>
      <w:r w:rsidR="00633017" w:rsidRPr="004601F5">
        <w:rPr>
          <w:i/>
          <w:iCs/>
        </w:rPr>
        <w:t>Lemon</w:t>
      </w:r>
      <w:r w:rsidR="00633017">
        <w:t xml:space="preserve"> test, </w:t>
      </w:r>
      <w:r w:rsidR="004601F5">
        <w:t xml:space="preserve">instructors might ask students whether they believe </w:t>
      </w:r>
      <w:r w:rsidR="004601F5" w:rsidRPr="004601F5">
        <w:rPr>
          <w:i/>
          <w:iCs/>
        </w:rPr>
        <w:t>Albuquerque v. Browner</w:t>
      </w:r>
      <w:r w:rsidR="004601F5">
        <w:t xml:space="preserve"> would still reach the same outcome today.</w:t>
      </w:r>
    </w:p>
    <w:p w14:paraId="7A3C279B" w14:textId="77777777" w:rsidR="008223F6" w:rsidRDefault="008223F6" w:rsidP="0070589C">
      <w:pPr>
        <w:pStyle w:val="BodyText"/>
      </w:pPr>
    </w:p>
    <w:p w14:paraId="7C3826E2" w14:textId="77777777" w:rsidR="00FE1B12" w:rsidRPr="00FD2E30" w:rsidRDefault="00FE1B12" w:rsidP="00FE1B12">
      <w:pPr>
        <w:pStyle w:val="BodyText"/>
        <w:kinsoku w:val="0"/>
        <w:overflowPunct w:val="0"/>
        <w:jc w:val="center"/>
        <w:rPr>
          <w:b/>
          <w:i/>
          <w:sz w:val="28"/>
          <w:szCs w:val="28"/>
        </w:rPr>
      </w:pPr>
      <w:r w:rsidRPr="00FD2E30">
        <w:rPr>
          <w:b/>
          <w:i/>
          <w:sz w:val="28"/>
          <w:szCs w:val="28"/>
        </w:rPr>
        <w:t>Notes and Questions</w:t>
      </w:r>
    </w:p>
    <w:p w14:paraId="11389B60" w14:textId="77777777" w:rsidR="00FE1B12" w:rsidRDefault="00FE1B12" w:rsidP="00FE1B12">
      <w:pPr>
        <w:pStyle w:val="BodyText"/>
        <w:jc w:val="both"/>
      </w:pPr>
    </w:p>
    <w:p w14:paraId="099874C2" w14:textId="361EA79D" w:rsidR="00164B28" w:rsidRDefault="00FE1B12" w:rsidP="00FE1B12">
      <w:pPr>
        <w:pStyle w:val="BodyText"/>
        <w:kinsoku w:val="0"/>
        <w:overflowPunct w:val="0"/>
        <w:spacing w:before="20"/>
        <w:ind w:left="21" w:right="540" w:firstLine="699"/>
        <w:jc w:val="both"/>
        <w:rPr>
          <w:b/>
        </w:rPr>
      </w:pPr>
      <w:r w:rsidRPr="004779B8">
        <w:rPr>
          <w:b/>
        </w:rPr>
        <w:t xml:space="preserve">1.  </w:t>
      </w:r>
      <w:r w:rsidR="00164B28">
        <w:rPr>
          <w:b/>
        </w:rPr>
        <w:t>Victory.</w:t>
      </w:r>
      <w:r w:rsidR="00164B28">
        <w:rPr>
          <w:bCs/>
        </w:rPr>
        <w:t xml:space="preserve">  </w:t>
      </w:r>
      <w:r w:rsidR="002A6F4B">
        <w:rPr>
          <w:bCs/>
        </w:rPr>
        <w:t xml:space="preserve">For many tribes and </w:t>
      </w:r>
      <w:r w:rsidR="009E150D">
        <w:rPr>
          <w:bCs/>
        </w:rPr>
        <w:t>Indigenous</w:t>
      </w:r>
      <w:r w:rsidR="002A6F4B">
        <w:rPr>
          <w:bCs/>
        </w:rPr>
        <w:t xml:space="preserve"> people, </w:t>
      </w:r>
      <w:r w:rsidR="002C2B39" w:rsidRPr="009E150D">
        <w:rPr>
          <w:bCs/>
          <w:i/>
          <w:iCs/>
        </w:rPr>
        <w:t>Albuquerque v. Browner</w:t>
      </w:r>
      <w:r w:rsidR="002C2B39">
        <w:rPr>
          <w:bCs/>
        </w:rPr>
        <w:t xml:space="preserve"> </w:t>
      </w:r>
      <w:r w:rsidR="009E150D">
        <w:rPr>
          <w:bCs/>
        </w:rPr>
        <w:t xml:space="preserve">represented a victory for </w:t>
      </w:r>
      <w:r w:rsidR="00F13AE1">
        <w:rPr>
          <w:bCs/>
        </w:rPr>
        <w:t>tribal sovereignty, discussed a</w:t>
      </w:r>
      <w:r w:rsidR="002554FE">
        <w:rPr>
          <w:bCs/>
        </w:rPr>
        <w:t xml:space="preserve">t length in Chapter 9.  If the decision </w:t>
      </w:r>
      <w:r w:rsidR="00C44678">
        <w:rPr>
          <w:bCs/>
        </w:rPr>
        <w:t xml:space="preserve">had gone the other way, the Pueblo of Isleta (and by </w:t>
      </w:r>
      <w:r w:rsidR="00FB40E0">
        <w:rPr>
          <w:bCs/>
        </w:rPr>
        <w:t>precedent</w:t>
      </w:r>
      <w:r w:rsidR="00C44678">
        <w:rPr>
          <w:bCs/>
        </w:rPr>
        <w:t xml:space="preserve">, all other tribes) may have been held </w:t>
      </w:r>
      <w:r w:rsidR="006F35C2">
        <w:rPr>
          <w:bCs/>
        </w:rPr>
        <w:t>to standards set by adjoining or surrounding state agencies</w:t>
      </w:r>
      <w:r w:rsidR="001B290E">
        <w:rPr>
          <w:bCs/>
        </w:rPr>
        <w:t>.  A</w:t>
      </w:r>
      <w:r w:rsidR="00027B4A">
        <w:rPr>
          <w:bCs/>
        </w:rPr>
        <w:t>mong other things,</w:t>
      </w:r>
      <w:r w:rsidR="001B290E">
        <w:rPr>
          <w:bCs/>
        </w:rPr>
        <w:t xml:space="preserve"> the state standards could result in </w:t>
      </w:r>
      <w:r w:rsidR="00027B4A">
        <w:rPr>
          <w:bCs/>
        </w:rPr>
        <w:t>impeding the Tribe’s ceremonial practices</w:t>
      </w:r>
      <w:r w:rsidR="00A778C3">
        <w:rPr>
          <w:bCs/>
        </w:rPr>
        <w:t xml:space="preserve">, which could be key to </w:t>
      </w:r>
      <w:r w:rsidR="00CA24E6">
        <w:rPr>
          <w:bCs/>
        </w:rPr>
        <w:t>defining a tribe’s identity</w:t>
      </w:r>
      <w:r w:rsidR="00027B4A">
        <w:rPr>
          <w:bCs/>
        </w:rPr>
        <w:t>.</w:t>
      </w:r>
      <w:r w:rsidR="00BC3E2C">
        <w:rPr>
          <w:bCs/>
        </w:rPr>
        <w:t xml:space="preserve"> Note th</w:t>
      </w:r>
      <w:r w:rsidR="00CD5893">
        <w:rPr>
          <w:bCs/>
        </w:rPr>
        <w:t xml:space="preserve">at the </w:t>
      </w:r>
      <w:r w:rsidR="00A55121">
        <w:rPr>
          <w:bCs/>
        </w:rPr>
        <w:t>decision does not depend on any detailed understanding of the Tribe’s “ceremonial” use</w:t>
      </w:r>
      <w:r w:rsidR="0038321A">
        <w:rPr>
          <w:bCs/>
        </w:rPr>
        <w:t xml:space="preserve">, </w:t>
      </w:r>
      <w:r w:rsidR="0087136E">
        <w:rPr>
          <w:bCs/>
        </w:rPr>
        <w:t xml:space="preserve">respecting the Tribe’s right to protect </w:t>
      </w:r>
      <w:r w:rsidR="001F1EA9">
        <w:rPr>
          <w:bCs/>
        </w:rPr>
        <w:t xml:space="preserve">some </w:t>
      </w:r>
      <w:r w:rsidR="00884E87">
        <w:rPr>
          <w:bCs/>
        </w:rPr>
        <w:t xml:space="preserve">cultural </w:t>
      </w:r>
      <w:r w:rsidR="001F1EA9">
        <w:rPr>
          <w:bCs/>
        </w:rPr>
        <w:t xml:space="preserve">practices from public disclosure.  For this case, it was enough to </w:t>
      </w:r>
      <w:r w:rsidR="007F01F7">
        <w:rPr>
          <w:bCs/>
        </w:rPr>
        <w:t xml:space="preserve">know that the ceremonial practices may involve some direct </w:t>
      </w:r>
      <w:r w:rsidR="00531604">
        <w:rPr>
          <w:bCs/>
        </w:rPr>
        <w:t xml:space="preserve">human </w:t>
      </w:r>
      <w:r w:rsidR="007F01F7">
        <w:rPr>
          <w:bCs/>
        </w:rPr>
        <w:t>contact and incidental ingestion of water</w:t>
      </w:r>
      <w:r w:rsidR="00E70078">
        <w:rPr>
          <w:bCs/>
        </w:rPr>
        <w:t xml:space="preserve">, implicating concerns for water quality </w:t>
      </w:r>
      <w:r w:rsidR="00EE6B68">
        <w:rPr>
          <w:bCs/>
        </w:rPr>
        <w:t xml:space="preserve">that fit squarely within </w:t>
      </w:r>
      <w:r w:rsidR="00C47A44">
        <w:rPr>
          <w:bCs/>
        </w:rPr>
        <w:t>the purposes of the Clean Water Act.</w:t>
      </w:r>
    </w:p>
    <w:p w14:paraId="4F380435" w14:textId="77777777" w:rsidR="00164B28" w:rsidRDefault="00164B28" w:rsidP="00FE1B12">
      <w:pPr>
        <w:pStyle w:val="BodyText"/>
        <w:kinsoku w:val="0"/>
        <w:overflowPunct w:val="0"/>
        <w:spacing w:before="20"/>
        <w:ind w:left="21" w:right="540" w:firstLine="699"/>
        <w:jc w:val="both"/>
        <w:rPr>
          <w:b/>
        </w:rPr>
      </w:pPr>
    </w:p>
    <w:p w14:paraId="4F506DED" w14:textId="4B31EF4C" w:rsidR="008223F6" w:rsidRDefault="00164B28" w:rsidP="001A2F1B">
      <w:pPr>
        <w:pStyle w:val="BodyText"/>
        <w:kinsoku w:val="0"/>
        <w:overflowPunct w:val="0"/>
        <w:spacing w:before="20"/>
        <w:ind w:left="21" w:right="540" w:firstLine="699"/>
        <w:jc w:val="both"/>
      </w:pPr>
      <w:r>
        <w:rPr>
          <w:b/>
        </w:rPr>
        <w:t xml:space="preserve">2.  </w:t>
      </w:r>
      <w:r w:rsidR="00FE1B12">
        <w:rPr>
          <w:b/>
        </w:rPr>
        <w:t>Framing the issue.</w:t>
      </w:r>
      <w:r w:rsidR="00FE1B12" w:rsidRPr="004779B8">
        <w:t xml:space="preserve">  </w:t>
      </w:r>
      <w:r w:rsidR="00737EF2">
        <w:t xml:space="preserve">As </w:t>
      </w:r>
      <w:r w:rsidR="00737EF2" w:rsidRPr="00737EF2">
        <w:rPr>
          <w:i/>
          <w:iCs/>
        </w:rPr>
        <w:t>Albuquerque v. Browner</w:t>
      </w:r>
      <w:r w:rsidR="00737EF2">
        <w:t xml:space="preserve"> and this note both demonstrate, environmental justice may sometimes require </w:t>
      </w:r>
      <w:r w:rsidR="00144213">
        <w:t xml:space="preserve">support for minority concerns over “dominant” paradigms.  </w:t>
      </w:r>
      <w:r w:rsidR="00A96584">
        <w:t xml:space="preserve">For example, the fact that Albuquerque residents </w:t>
      </w:r>
      <w:r w:rsidR="00880040">
        <w:t xml:space="preserve">upstream </w:t>
      </w:r>
      <w:r w:rsidR="00A96584">
        <w:t xml:space="preserve">may not engage in the same ceremonial </w:t>
      </w:r>
      <w:r w:rsidR="00C142C0">
        <w:t>uses of water</w:t>
      </w:r>
      <w:r w:rsidR="00A96584">
        <w:t xml:space="preserve"> as Isleta </w:t>
      </w:r>
      <w:r w:rsidR="00C142C0">
        <w:t xml:space="preserve">citizens </w:t>
      </w:r>
      <w:r w:rsidR="00880040">
        <w:t xml:space="preserve">downstream </w:t>
      </w:r>
      <w:r w:rsidR="00C142C0">
        <w:t xml:space="preserve">does not diminish the significance and </w:t>
      </w:r>
      <w:r w:rsidR="006C6AC6">
        <w:t xml:space="preserve">obligation to protect Isleta </w:t>
      </w:r>
      <w:r w:rsidR="00761F20">
        <w:t>citizens</w:t>
      </w:r>
      <w:r w:rsidR="006F4AA3">
        <w:t xml:space="preserve">. The obligation follows directly from the EJ </w:t>
      </w:r>
      <w:r w:rsidR="004A3DD9">
        <w:t xml:space="preserve">requirement to protect “all people,” </w:t>
      </w:r>
      <w:r w:rsidR="00500CB2">
        <w:t xml:space="preserve">which includes an obligation to protect people with differing lifeways. </w:t>
      </w:r>
    </w:p>
    <w:p w14:paraId="223DB1BA" w14:textId="77777777" w:rsidR="008223F6" w:rsidRDefault="008223F6" w:rsidP="0070589C">
      <w:pPr>
        <w:pStyle w:val="BodyText"/>
      </w:pPr>
    </w:p>
    <w:p w14:paraId="3D5AA98B" w14:textId="2FCF6E46" w:rsidR="005F3608" w:rsidRDefault="00975ABF" w:rsidP="005F3608">
      <w:pPr>
        <w:pStyle w:val="BodyText"/>
        <w:ind w:firstLine="720"/>
        <w:rPr>
          <w:bCs/>
        </w:rPr>
      </w:pPr>
      <w:r>
        <w:rPr>
          <w:b/>
        </w:rPr>
        <w:lastRenderedPageBreak/>
        <w:t>E</w:t>
      </w:r>
      <w:r w:rsidR="0070589C" w:rsidRPr="00C13864">
        <w:rPr>
          <w:b/>
        </w:rPr>
        <w:t xml:space="preserve">.  </w:t>
      </w:r>
      <w:r w:rsidR="00E77CCD">
        <w:rPr>
          <w:b/>
        </w:rPr>
        <w:t>Addressing Air Toxics in “Cancer Alley</w:t>
      </w:r>
      <w:r w:rsidR="00C719F7">
        <w:rPr>
          <w:b/>
        </w:rPr>
        <w:t>.</w:t>
      </w:r>
      <w:r w:rsidR="00E77CCD">
        <w:rPr>
          <w:b/>
        </w:rPr>
        <w:t>”</w:t>
      </w:r>
      <w:r w:rsidR="00C719F7">
        <w:rPr>
          <w:b/>
        </w:rPr>
        <w:t xml:space="preserve">  </w:t>
      </w:r>
      <w:r w:rsidR="00C719F7">
        <w:rPr>
          <w:bCs/>
        </w:rPr>
        <w:t>This concluding case study provides a close</w:t>
      </w:r>
      <w:r w:rsidR="00A82174">
        <w:rPr>
          <w:bCs/>
        </w:rPr>
        <w:t>r</w:t>
      </w:r>
      <w:r w:rsidR="00C719F7">
        <w:rPr>
          <w:bCs/>
        </w:rPr>
        <w:t xml:space="preserve"> look at one of the </w:t>
      </w:r>
      <w:r w:rsidR="005E50A2">
        <w:rPr>
          <w:bCs/>
        </w:rPr>
        <w:t xml:space="preserve">regions of the United States with </w:t>
      </w:r>
      <w:r w:rsidR="005C150B">
        <w:rPr>
          <w:bCs/>
        </w:rPr>
        <w:t xml:space="preserve">the </w:t>
      </w:r>
      <w:r w:rsidR="00C719F7">
        <w:rPr>
          <w:bCs/>
        </w:rPr>
        <w:t xml:space="preserve">most egregious </w:t>
      </w:r>
      <w:r w:rsidR="00196217">
        <w:rPr>
          <w:bCs/>
        </w:rPr>
        <w:t xml:space="preserve">and continuing cases of environmental injustice.  </w:t>
      </w:r>
      <w:r w:rsidR="00B166F9">
        <w:rPr>
          <w:bCs/>
        </w:rPr>
        <w:t xml:space="preserve">The case study focuses on one community and one environmental regulation as an entry to </w:t>
      </w:r>
      <w:r w:rsidR="0003731A">
        <w:rPr>
          <w:bCs/>
        </w:rPr>
        <w:t xml:space="preserve">easily bewildering environmental justice concerns across Louisiana’s “Cancer Alley,” </w:t>
      </w:r>
      <w:r w:rsidR="00412C02">
        <w:rPr>
          <w:bCs/>
        </w:rPr>
        <w:t>the intensely indu</w:t>
      </w:r>
      <w:r w:rsidR="009509C4">
        <w:rPr>
          <w:bCs/>
        </w:rPr>
        <w:t>stria</w:t>
      </w:r>
      <w:r w:rsidR="00276A74">
        <w:rPr>
          <w:bCs/>
        </w:rPr>
        <w:t xml:space="preserve">l </w:t>
      </w:r>
      <w:r w:rsidR="00367E2F">
        <w:rPr>
          <w:bCs/>
        </w:rPr>
        <w:t xml:space="preserve">petrochemical </w:t>
      </w:r>
      <w:r w:rsidR="00412C02">
        <w:rPr>
          <w:bCs/>
        </w:rPr>
        <w:t>corridor along the Mississippi River between New Orleans and Baton Rouge</w:t>
      </w:r>
      <w:r w:rsidR="00276A74">
        <w:rPr>
          <w:bCs/>
        </w:rPr>
        <w:t xml:space="preserve"> that is also home </w:t>
      </w:r>
      <w:r w:rsidR="00DF7EC5">
        <w:rPr>
          <w:bCs/>
        </w:rPr>
        <w:t xml:space="preserve">to </w:t>
      </w:r>
      <w:r w:rsidR="00276A74">
        <w:rPr>
          <w:bCs/>
        </w:rPr>
        <w:t xml:space="preserve">large and small communities of mostly </w:t>
      </w:r>
      <w:r w:rsidR="00DF7EC5">
        <w:rPr>
          <w:bCs/>
        </w:rPr>
        <w:t>people of color. The d</w:t>
      </w:r>
      <w:r w:rsidR="001D4DC3">
        <w:rPr>
          <w:bCs/>
        </w:rPr>
        <w:t xml:space="preserve">iscussion </w:t>
      </w:r>
      <w:r w:rsidR="00DF7EC5">
        <w:rPr>
          <w:bCs/>
        </w:rPr>
        <w:t xml:space="preserve">of the “HON rule” </w:t>
      </w:r>
      <w:r w:rsidR="00E65B95">
        <w:rPr>
          <w:bCs/>
        </w:rPr>
        <w:t xml:space="preserve">addressing EtO and other hazardous air pollutants </w:t>
      </w:r>
      <w:r w:rsidR="001D4DC3">
        <w:rPr>
          <w:bCs/>
        </w:rPr>
        <w:t>demonstrates many of the rulemaking processes described in the first part of the chapter</w:t>
      </w:r>
      <w:r w:rsidR="00F02DAF">
        <w:rPr>
          <w:bCs/>
        </w:rPr>
        <w:t xml:space="preserve">, </w:t>
      </w:r>
      <w:r w:rsidR="00C07A84">
        <w:rPr>
          <w:bCs/>
        </w:rPr>
        <w:t>including (an</w:t>
      </w:r>
      <w:r w:rsidR="00F02DAF">
        <w:rPr>
          <w:bCs/>
        </w:rPr>
        <w:t xml:space="preserve"> unusually timely</w:t>
      </w:r>
      <w:r w:rsidR="00C07A84">
        <w:rPr>
          <w:bCs/>
        </w:rPr>
        <w:t>)</w:t>
      </w:r>
      <w:r w:rsidR="00F02DAF">
        <w:rPr>
          <w:bCs/>
        </w:rPr>
        <w:t xml:space="preserve"> clearance by OIRA </w:t>
      </w:r>
      <w:r w:rsidR="00651FA8">
        <w:rPr>
          <w:bCs/>
        </w:rPr>
        <w:t xml:space="preserve">and </w:t>
      </w:r>
      <w:r w:rsidR="00C07A84">
        <w:rPr>
          <w:bCs/>
        </w:rPr>
        <w:t xml:space="preserve">completion of a cost-benefits analysis.  </w:t>
      </w:r>
      <w:r w:rsidR="00132036">
        <w:rPr>
          <w:bCs/>
        </w:rPr>
        <w:t xml:space="preserve">The case study concludes </w:t>
      </w:r>
      <w:r w:rsidR="00D97593">
        <w:rPr>
          <w:bCs/>
        </w:rPr>
        <w:t xml:space="preserve">with a note that the Trump administration announced an intent to “reconsider” the HON rule and instructors may want to follow </w:t>
      </w:r>
      <w:r w:rsidR="000C5209">
        <w:rPr>
          <w:bCs/>
        </w:rPr>
        <w:t>the regulatory process required for any repeal or regulatory amendment</w:t>
      </w:r>
      <w:r w:rsidR="005F3608">
        <w:rPr>
          <w:bCs/>
        </w:rPr>
        <w:t>.</w:t>
      </w:r>
    </w:p>
    <w:p w14:paraId="25115578" w14:textId="4123CC5B" w:rsidR="005F3608" w:rsidRDefault="005F3608" w:rsidP="005F3608">
      <w:pPr>
        <w:pStyle w:val="BodyText"/>
        <w:ind w:firstLine="720"/>
        <w:rPr>
          <w:bCs/>
        </w:rPr>
      </w:pPr>
      <w:r>
        <w:rPr>
          <w:bCs/>
        </w:rPr>
        <w:t xml:space="preserve">For additional </w:t>
      </w:r>
      <w:r w:rsidR="000E4593">
        <w:rPr>
          <w:bCs/>
        </w:rPr>
        <w:t xml:space="preserve">background and </w:t>
      </w:r>
      <w:r>
        <w:rPr>
          <w:bCs/>
        </w:rPr>
        <w:t xml:space="preserve">engagement with </w:t>
      </w:r>
      <w:r w:rsidR="00706CCC">
        <w:rPr>
          <w:bCs/>
        </w:rPr>
        <w:t>EJ concerns in Cancer Alley, instructors may want to refer to websites of local organizations</w:t>
      </w:r>
      <w:r w:rsidR="000E4593">
        <w:rPr>
          <w:bCs/>
        </w:rPr>
        <w:t xml:space="preserve"> </w:t>
      </w:r>
      <w:r w:rsidR="00706CCC">
        <w:rPr>
          <w:bCs/>
        </w:rPr>
        <w:t xml:space="preserve">including </w:t>
      </w:r>
      <w:r w:rsidR="00D14A09">
        <w:rPr>
          <w:bCs/>
        </w:rPr>
        <w:t xml:space="preserve">the Deep South Center for Environmental Justice, </w:t>
      </w:r>
      <w:r w:rsidR="00706CCC">
        <w:rPr>
          <w:bCs/>
        </w:rPr>
        <w:t>the Louisiana Bucket Brigade</w:t>
      </w:r>
      <w:r w:rsidR="00D14A09">
        <w:rPr>
          <w:bCs/>
        </w:rPr>
        <w:t>,</w:t>
      </w:r>
      <w:r w:rsidR="00706CCC">
        <w:rPr>
          <w:bCs/>
        </w:rPr>
        <w:t xml:space="preserve"> and</w:t>
      </w:r>
      <w:r w:rsidR="008B1D1A">
        <w:rPr>
          <w:bCs/>
        </w:rPr>
        <w:t xml:space="preserve"> Rise St. James.</w:t>
      </w:r>
      <w:r w:rsidR="00880A97">
        <w:rPr>
          <w:bCs/>
        </w:rPr>
        <w:t xml:space="preserve">  For entry into legal literature</w:t>
      </w:r>
      <w:r w:rsidR="008D7256">
        <w:rPr>
          <w:bCs/>
        </w:rPr>
        <w:t xml:space="preserve"> on Cancer Alley, environmental injustice, and local politics</w:t>
      </w:r>
      <w:r w:rsidR="00880A97">
        <w:rPr>
          <w:bCs/>
        </w:rPr>
        <w:t xml:space="preserve">, see </w:t>
      </w:r>
      <w:r w:rsidR="00216C02">
        <w:rPr>
          <w:bCs/>
        </w:rPr>
        <w:t xml:space="preserve">Maryum Jordan, </w:t>
      </w:r>
      <w:r w:rsidR="00216C02" w:rsidRPr="00216C02">
        <w:rPr>
          <w:bCs/>
          <w:i/>
          <w:iCs/>
        </w:rPr>
        <w:t>Reflections on Fighting Environmental Racism in St. John the Baptist Parish, Louisiana</w:t>
      </w:r>
      <w:r w:rsidR="00216C02">
        <w:rPr>
          <w:bCs/>
        </w:rPr>
        <w:t xml:space="preserve">, </w:t>
      </w:r>
      <w:r w:rsidR="00216C02" w:rsidRPr="0049261D">
        <w:rPr>
          <w:bCs/>
          <w:smallCaps/>
        </w:rPr>
        <w:t>Harv</w:t>
      </w:r>
      <w:r w:rsidR="00216C02" w:rsidRPr="00216C02">
        <w:rPr>
          <w:bCs/>
          <w:smallCaps/>
        </w:rPr>
        <w:t>. C.R.-C.L. L. Rev.</w:t>
      </w:r>
      <w:r w:rsidR="00216C02">
        <w:rPr>
          <w:bCs/>
        </w:rPr>
        <w:t xml:space="preserve"> 439 (2022); </w:t>
      </w:r>
      <w:r w:rsidR="00191502" w:rsidRPr="5E80599D">
        <w:t xml:space="preserve">Oliver A. Houck, </w:t>
      </w:r>
      <w:r w:rsidR="00191502" w:rsidRPr="5E80599D">
        <w:rPr>
          <w:i/>
          <w:iCs/>
        </w:rPr>
        <w:t>Shintech: Environmental Justice at Ground Zero</w:t>
      </w:r>
      <w:r w:rsidR="00191502" w:rsidRPr="5E80599D">
        <w:t xml:space="preserve">, 31 </w:t>
      </w:r>
      <w:r w:rsidR="00191502" w:rsidRPr="5E80599D">
        <w:rPr>
          <w:caps/>
        </w:rPr>
        <w:t>G</w:t>
      </w:r>
      <w:r w:rsidR="00191502" w:rsidRPr="5E80599D">
        <w:rPr>
          <w:smallCaps/>
        </w:rPr>
        <w:t xml:space="preserve">eo. </w:t>
      </w:r>
      <w:r w:rsidR="00191502" w:rsidRPr="5E80599D">
        <w:rPr>
          <w:caps/>
        </w:rPr>
        <w:t>I</w:t>
      </w:r>
      <w:r w:rsidR="00191502" w:rsidRPr="5E80599D">
        <w:rPr>
          <w:smallCaps/>
        </w:rPr>
        <w:t xml:space="preserve">ntl. </w:t>
      </w:r>
      <w:r w:rsidR="00191502" w:rsidRPr="5E80599D">
        <w:rPr>
          <w:caps/>
        </w:rPr>
        <w:t>E</w:t>
      </w:r>
      <w:r w:rsidR="00191502" w:rsidRPr="5E80599D">
        <w:rPr>
          <w:smallCaps/>
        </w:rPr>
        <w:t xml:space="preserve">nvtl. </w:t>
      </w:r>
      <w:r w:rsidR="00191502" w:rsidRPr="5E80599D">
        <w:rPr>
          <w:caps/>
        </w:rPr>
        <w:t>L</w:t>
      </w:r>
      <w:r w:rsidR="00191502" w:rsidRPr="5E80599D">
        <w:rPr>
          <w:smallCaps/>
        </w:rPr>
        <w:t xml:space="preserve">. </w:t>
      </w:r>
      <w:r w:rsidR="00191502" w:rsidRPr="5E80599D">
        <w:rPr>
          <w:caps/>
        </w:rPr>
        <w:t>R</w:t>
      </w:r>
      <w:r w:rsidR="00191502" w:rsidRPr="5E80599D">
        <w:rPr>
          <w:smallCaps/>
        </w:rPr>
        <w:t>ev</w:t>
      </w:r>
      <w:r w:rsidR="00191502" w:rsidRPr="5E80599D">
        <w:t>. 455 (2019)</w:t>
      </w:r>
      <w:r w:rsidR="000F2FF0">
        <w:t xml:space="preserve">; </w:t>
      </w:r>
      <w:r w:rsidR="00E16010" w:rsidRPr="00A97C98">
        <w:t xml:space="preserve">Robert R. Kuehn, </w:t>
      </w:r>
      <w:r w:rsidR="00E16010" w:rsidRPr="00A97C98">
        <w:rPr>
          <w:i/>
          <w:iCs/>
        </w:rPr>
        <w:t>Denying Access to Legal Representation: The Attack on the Tulane Environmental Law Clinic</w:t>
      </w:r>
      <w:r w:rsidR="00E16010" w:rsidRPr="00B64826">
        <w:t xml:space="preserve">, 4 </w:t>
      </w:r>
      <w:r w:rsidR="00E16010" w:rsidRPr="00B64826">
        <w:rPr>
          <w:caps/>
        </w:rPr>
        <w:t>W</w:t>
      </w:r>
      <w:r w:rsidR="00E16010" w:rsidRPr="00B64826">
        <w:rPr>
          <w:rStyle w:val="SC"/>
          <w:rFonts w:ascii="Times New Roman" w:hAnsi="Times New Roman"/>
        </w:rPr>
        <w:t>ash</w:t>
      </w:r>
      <w:r w:rsidR="00E16010" w:rsidRPr="00B64826">
        <w:t xml:space="preserve">. </w:t>
      </w:r>
      <w:r w:rsidR="00E16010" w:rsidRPr="00B64826">
        <w:rPr>
          <w:caps/>
        </w:rPr>
        <w:t>U</w:t>
      </w:r>
      <w:r w:rsidR="00E16010" w:rsidRPr="00B64826">
        <w:t xml:space="preserve">. </w:t>
      </w:r>
      <w:r w:rsidR="00E16010" w:rsidRPr="00B64826">
        <w:rPr>
          <w:caps/>
        </w:rPr>
        <w:t>J</w:t>
      </w:r>
      <w:r w:rsidR="00E16010" w:rsidRPr="00B64826">
        <w:t xml:space="preserve">. </w:t>
      </w:r>
      <w:r w:rsidR="00E16010" w:rsidRPr="00B64826">
        <w:rPr>
          <w:caps/>
        </w:rPr>
        <w:t>L</w:t>
      </w:r>
      <w:r w:rsidR="00E16010" w:rsidRPr="00B64826">
        <w:t xml:space="preserve">. &amp; </w:t>
      </w:r>
      <w:r w:rsidR="00E16010" w:rsidRPr="00B64826">
        <w:rPr>
          <w:caps/>
        </w:rPr>
        <w:t>P</w:t>
      </w:r>
      <w:r w:rsidR="00E16010" w:rsidRPr="00B64826">
        <w:rPr>
          <w:rStyle w:val="SC"/>
          <w:rFonts w:ascii="Times New Roman" w:hAnsi="Times New Roman"/>
        </w:rPr>
        <w:t>ol</w:t>
      </w:r>
      <w:r w:rsidR="00E16010" w:rsidRPr="00B64826">
        <w:t>’</w:t>
      </w:r>
      <w:r w:rsidR="00E16010" w:rsidRPr="00B64826">
        <w:rPr>
          <w:rStyle w:val="SC"/>
          <w:rFonts w:ascii="Times New Roman" w:hAnsi="Times New Roman"/>
        </w:rPr>
        <w:t>y</w:t>
      </w:r>
      <w:r w:rsidR="00E16010" w:rsidRPr="00A97C98">
        <w:t xml:space="preserve"> 33 (2000)</w:t>
      </w:r>
      <w:r w:rsidR="00067A8D">
        <w:t>.</w:t>
      </w:r>
    </w:p>
    <w:p w14:paraId="1BD6F487" w14:textId="26742F0E" w:rsidR="0070589C" w:rsidRPr="005F3608" w:rsidRDefault="0070589C" w:rsidP="005F3608">
      <w:pPr>
        <w:pStyle w:val="BodyText"/>
        <w:ind w:firstLine="720"/>
        <w:rPr>
          <w:bCs/>
        </w:rPr>
      </w:pPr>
      <w:r>
        <w:br w:type="page"/>
      </w:r>
    </w:p>
    <w:p w14:paraId="206FA627" w14:textId="77777777" w:rsidR="0070589C" w:rsidRPr="00C73007" w:rsidRDefault="0070589C" w:rsidP="0070589C">
      <w:pPr>
        <w:pStyle w:val="BodyText"/>
        <w:rPr>
          <w:b/>
          <w:bCs/>
          <w:sz w:val="32"/>
          <w:szCs w:val="32"/>
        </w:rPr>
      </w:pPr>
      <w:r w:rsidRPr="00C73007">
        <w:rPr>
          <w:b/>
          <w:bCs/>
          <w:sz w:val="32"/>
          <w:szCs w:val="32"/>
        </w:rPr>
        <w:lastRenderedPageBreak/>
        <w:t xml:space="preserve">Chapter </w:t>
      </w:r>
      <w:r>
        <w:rPr>
          <w:b/>
          <w:bCs/>
          <w:sz w:val="32"/>
          <w:szCs w:val="32"/>
        </w:rPr>
        <w:t>6</w:t>
      </w:r>
    </w:p>
    <w:p w14:paraId="7645E81A" w14:textId="77777777" w:rsidR="0070589C" w:rsidRPr="00C73007" w:rsidRDefault="0070589C" w:rsidP="0070589C">
      <w:pPr>
        <w:pStyle w:val="BodyText"/>
        <w:rPr>
          <w:b/>
          <w:sz w:val="32"/>
          <w:szCs w:val="32"/>
        </w:rPr>
      </w:pPr>
    </w:p>
    <w:p w14:paraId="72E627A7" w14:textId="77777777" w:rsidR="0070589C" w:rsidRPr="00C73007" w:rsidRDefault="0070589C" w:rsidP="0070589C">
      <w:pPr>
        <w:pStyle w:val="BodyText"/>
        <w:rPr>
          <w:b/>
          <w:sz w:val="32"/>
          <w:szCs w:val="32"/>
        </w:rPr>
      </w:pPr>
      <w:r>
        <w:rPr>
          <w:b/>
          <w:sz w:val="32"/>
          <w:szCs w:val="32"/>
        </w:rPr>
        <w:t xml:space="preserve">Environmental Permits </w:t>
      </w:r>
    </w:p>
    <w:p w14:paraId="028C1567" w14:textId="77777777" w:rsidR="0070589C" w:rsidRDefault="0070589C" w:rsidP="0070589C">
      <w:pPr>
        <w:pStyle w:val="BodyText"/>
        <w:tabs>
          <w:tab w:val="left" w:pos="3013"/>
        </w:tabs>
      </w:pPr>
    </w:p>
    <w:p w14:paraId="531DBAE7" w14:textId="77777777" w:rsidR="0070589C" w:rsidRPr="00C13864" w:rsidRDefault="0070589C" w:rsidP="0070589C">
      <w:pPr>
        <w:pStyle w:val="BodyText"/>
        <w:ind w:firstLine="720"/>
        <w:rPr>
          <w:b/>
        </w:rPr>
      </w:pPr>
      <w:r w:rsidRPr="00C13864">
        <w:rPr>
          <w:b/>
        </w:rPr>
        <w:t>A.  Introduction</w:t>
      </w:r>
    </w:p>
    <w:p w14:paraId="36980963" w14:textId="77777777" w:rsidR="0070589C" w:rsidRDefault="0070589C" w:rsidP="0070589C">
      <w:pPr>
        <w:pStyle w:val="BodyText"/>
      </w:pPr>
    </w:p>
    <w:p w14:paraId="01ACE0CD" w14:textId="77777777" w:rsidR="0070589C" w:rsidRDefault="0070589C" w:rsidP="0070589C">
      <w:pPr>
        <w:pStyle w:val="BodyText"/>
        <w:ind w:right="540"/>
        <w:jc w:val="both"/>
      </w:pPr>
      <w:r>
        <w:tab/>
        <w:t xml:space="preserve">This chapter explores the legal authority of permitting agencies to impose more protective conditions on the grant of a particular permit.  The chapter also examines alternatives to, and the difficulties of imposing them on, the permitting status quo.  The chapter first explores federal authority to consider environmental justice and impose relevant protections or permitting conditions, examined through a series of cases before the Environmental Appeals Board (EAB).  Next, the chapter compares the authority of the states in permitting.  Finally, the chapter closes by inquiring into the permit applicant’s perspective.     </w:t>
      </w:r>
    </w:p>
    <w:p w14:paraId="6038D709" w14:textId="77777777" w:rsidR="0070589C" w:rsidRDefault="0070589C" w:rsidP="0070589C">
      <w:pPr>
        <w:pStyle w:val="BodyText"/>
      </w:pPr>
    </w:p>
    <w:p w14:paraId="7F9E67CF" w14:textId="77777777" w:rsidR="0070589C" w:rsidRPr="00061FF4" w:rsidRDefault="0070589C" w:rsidP="0070589C">
      <w:pPr>
        <w:pStyle w:val="BodyText"/>
        <w:jc w:val="center"/>
        <w:rPr>
          <w:b/>
        </w:rPr>
      </w:pPr>
      <w:r>
        <w:rPr>
          <w:b/>
        </w:rPr>
        <w:t>ROLE-PLAY</w:t>
      </w:r>
      <w:r w:rsidRPr="00061FF4">
        <w:rPr>
          <w:b/>
        </w:rPr>
        <w:t>: DESIGN A NEW PERMITTING SCHEME</w:t>
      </w:r>
    </w:p>
    <w:p w14:paraId="7B01647C" w14:textId="77777777" w:rsidR="0070589C" w:rsidRPr="007918E3" w:rsidRDefault="0070589C" w:rsidP="0070589C">
      <w:pPr>
        <w:pStyle w:val="BodyText"/>
        <w:rPr>
          <w:bCs/>
        </w:rPr>
      </w:pPr>
    </w:p>
    <w:p w14:paraId="7F78E5A6" w14:textId="77777777" w:rsidR="0070589C" w:rsidRDefault="0070589C" w:rsidP="0070589C">
      <w:pPr>
        <w:pStyle w:val="BodyText"/>
        <w:ind w:right="540" w:firstLine="720"/>
        <w:jc w:val="both"/>
        <w:rPr>
          <w:bCs/>
        </w:rPr>
      </w:pPr>
      <w:r w:rsidRPr="007918E3">
        <w:rPr>
          <w:bCs/>
        </w:rPr>
        <w:t xml:space="preserve">One possible </w:t>
      </w:r>
      <w:r>
        <w:rPr>
          <w:bCs/>
        </w:rPr>
        <w:t>activity</w:t>
      </w:r>
      <w:r w:rsidRPr="007918E3">
        <w:rPr>
          <w:bCs/>
        </w:rPr>
        <w:t xml:space="preserve"> to stimulate discussion of the materials in this chapter is to ask students to come up with proposals for a new permitting scheme that is more protective of overburdened communities than the existing permitting scheme(s). </w:t>
      </w:r>
      <w:r>
        <w:rPr>
          <w:bCs/>
        </w:rPr>
        <w:t xml:space="preserve"> One </w:t>
      </w:r>
      <w:r w:rsidRPr="007918E3">
        <w:rPr>
          <w:bCs/>
        </w:rPr>
        <w:t>idea might be to look at what innovative tools the EPA uses, and what some states have done in this area.</w:t>
      </w:r>
      <w:r>
        <w:rPr>
          <w:bCs/>
        </w:rPr>
        <w:t xml:space="preserve">  For instance, the text discusses EPA’s Environmental Justice Screening and Mapping Tool EJSCREEN, available at</w:t>
      </w:r>
      <w:r w:rsidRPr="007918E3">
        <w:rPr>
          <w:bCs/>
        </w:rPr>
        <w:t xml:space="preserve">: </w:t>
      </w:r>
      <w:hyperlink r:id="rId24" w:history="1">
        <w:r w:rsidRPr="00D56B3A">
          <w:rPr>
            <w:rStyle w:val="Hyperlink"/>
          </w:rPr>
          <w:t>https://www.epa.gov/ejscreen/how-does-epa-use-ejscreen</w:t>
        </w:r>
      </w:hyperlink>
      <w:r>
        <w:rPr>
          <w:bCs/>
        </w:rPr>
        <w:t>.  Students could question what the tool is and is not used for (</w:t>
      </w:r>
      <w:r w:rsidRPr="00061FF4">
        <w:rPr>
          <w:bCs/>
        </w:rPr>
        <w:t>a</w:t>
      </w:r>
      <w:r>
        <w:rPr>
          <w:bCs/>
        </w:rPr>
        <w:t>s a</w:t>
      </w:r>
      <w:r w:rsidRPr="00061FF4">
        <w:rPr>
          <w:bCs/>
        </w:rPr>
        <w:t xml:space="preserve"> means to identify or label an area as an </w:t>
      </w:r>
      <w:r>
        <w:rPr>
          <w:bCs/>
        </w:rPr>
        <w:t>“</w:t>
      </w:r>
      <w:r w:rsidRPr="00061FF4">
        <w:rPr>
          <w:bCs/>
        </w:rPr>
        <w:t>EJ community</w:t>
      </w:r>
      <w:r>
        <w:rPr>
          <w:bCs/>
        </w:rPr>
        <w:t>,” t</w:t>
      </w:r>
      <w:r w:rsidRPr="00061FF4">
        <w:rPr>
          <w:bCs/>
        </w:rPr>
        <w:t>o quantify specific risk values for a selected area</w:t>
      </w:r>
      <w:r>
        <w:rPr>
          <w:bCs/>
        </w:rPr>
        <w:t>, t</w:t>
      </w:r>
      <w:r w:rsidRPr="00061FF4">
        <w:rPr>
          <w:bCs/>
        </w:rPr>
        <w:t>o measure cumulative impacts of multiple environmental factors</w:t>
      </w:r>
      <w:r>
        <w:rPr>
          <w:bCs/>
        </w:rPr>
        <w:t>, or a</w:t>
      </w:r>
      <w:r w:rsidRPr="00061FF4">
        <w:rPr>
          <w:bCs/>
        </w:rPr>
        <w:t>s a basis for agency decision-making or making a determination regarding the existence or absence of EJ concerns</w:t>
      </w:r>
      <w:r>
        <w:rPr>
          <w:bCs/>
        </w:rPr>
        <w:t>).</w:t>
      </w:r>
    </w:p>
    <w:p w14:paraId="5C0F1434" w14:textId="77777777" w:rsidR="0070589C" w:rsidRDefault="0070589C" w:rsidP="0070589C">
      <w:pPr>
        <w:pStyle w:val="BodyText"/>
        <w:ind w:firstLine="720"/>
        <w:jc w:val="both"/>
        <w:rPr>
          <w:bCs/>
        </w:rPr>
      </w:pPr>
    </w:p>
    <w:p w14:paraId="4986F551" w14:textId="77777777" w:rsidR="0070589C" w:rsidRPr="007918E3" w:rsidRDefault="0070589C" w:rsidP="0070589C">
      <w:pPr>
        <w:pStyle w:val="BodyText"/>
        <w:ind w:right="540"/>
        <w:jc w:val="both"/>
        <w:rPr>
          <w:bCs/>
        </w:rPr>
      </w:pPr>
      <w:r>
        <w:rPr>
          <w:bCs/>
        </w:rPr>
        <w:tab/>
        <w:t xml:space="preserve">One example of a state permitting scheme that aims to foster increased public participation is included in the California State Lands Commission’s recently adopted Environmental Justice policy, available at: </w:t>
      </w:r>
      <w:hyperlink r:id="rId25" w:history="1">
        <w:r w:rsidRPr="00D56B3A">
          <w:rPr>
            <w:rStyle w:val="Hyperlink"/>
          </w:rPr>
          <w:t>https://www.slc.ca.gov/wp-content/uploads/2018/11/EJPolicy.pdf</w:t>
        </w:r>
      </w:hyperlink>
      <w:r>
        <w:rPr>
          <w:bCs/>
        </w:rPr>
        <w:t xml:space="preserve">.  What aspects of that policy, or others, would the students include in their permitting schemes to ensure </w:t>
      </w:r>
      <w:r>
        <w:rPr>
          <w:bCs/>
          <w:i/>
          <w:iCs/>
        </w:rPr>
        <w:t>meaningful</w:t>
      </w:r>
      <w:r>
        <w:rPr>
          <w:bCs/>
        </w:rPr>
        <w:t xml:space="preserve"> public participation, and notification, as discussed in the chapter.    </w:t>
      </w:r>
    </w:p>
    <w:p w14:paraId="597E09E1" w14:textId="77777777" w:rsidR="0070589C" w:rsidRPr="007918E3" w:rsidRDefault="0070589C" w:rsidP="0070589C">
      <w:pPr>
        <w:pStyle w:val="BodyText"/>
        <w:rPr>
          <w:bCs/>
        </w:rPr>
      </w:pPr>
    </w:p>
    <w:p w14:paraId="534DD454" w14:textId="77777777" w:rsidR="0070589C" w:rsidRPr="008F69A2" w:rsidRDefault="0070589C" w:rsidP="0070589C">
      <w:pPr>
        <w:pStyle w:val="BodyText"/>
        <w:jc w:val="center"/>
        <w:rPr>
          <w:b/>
          <w:bCs/>
          <w:sz w:val="28"/>
          <w:szCs w:val="28"/>
        </w:rPr>
      </w:pPr>
      <w:r w:rsidRPr="008F69A2">
        <w:rPr>
          <w:b/>
          <w:bCs/>
          <w:sz w:val="28"/>
          <w:szCs w:val="28"/>
        </w:rPr>
        <w:t xml:space="preserve">B. </w:t>
      </w:r>
      <w:r>
        <w:rPr>
          <w:b/>
          <w:bCs/>
          <w:sz w:val="28"/>
          <w:szCs w:val="28"/>
        </w:rPr>
        <w:t xml:space="preserve"> </w:t>
      </w:r>
      <w:r w:rsidRPr="008F69A2">
        <w:rPr>
          <w:b/>
          <w:bCs/>
          <w:sz w:val="28"/>
          <w:szCs w:val="28"/>
        </w:rPr>
        <w:t>Federal Authorities to Ensure Environmental Justice in Permitting</w:t>
      </w:r>
    </w:p>
    <w:p w14:paraId="6BD78151" w14:textId="77777777" w:rsidR="0070589C" w:rsidRDefault="0070589C" w:rsidP="0070589C">
      <w:pPr>
        <w:pStyle w:val="BodyText"/>
      </w:pPr>
    </w:p>
    <w:p w14:paraId="4588E25B" w14:textId="77777777" w:rsidR="0070589C" w:rsidRDefault="0070589C" w:rsidP="0070589C">
      <w:pPr>
        <w:pStyle w:val="BodyText"/>
        <w:ind w:right="540"/>
        <w:jc w:val="both"/>
      </w:pPr>
      <w:r>
        <w:tab/>
        <w:t xml:space="preserve">Professors Lazarus and Tai’s article identifies federal statutory language that appears to confer on the Administrator “wide ranging authority to impose permit conditions promoting environmental justice.”  The Notes and Questions further elaborate on the tools available to better execute this authority, and the series of EAB cases provide a background for students to see this authority play out over time at the federal level.     </w:t>
      </w:r>
    </w:p>
    <w:p w14:paraId="2F60A67C" w14:textId="77777777" w:rsidR="0070589C" w:rsidRDefault="0070589C" w:rsidP="0070589C">
      <w:pPr>
        <w:pStyle w:val="BodyText"/>
      </w:pPr>
    </w:p>
    <w:p w14:paraId="29DFAC54" w14:textId="77777777" w:rsidR="0070589C" w:rsidRPr="00765C6A" w:rsidRDefault="0070589C" w:rsidP="0070589C">
      <w:pPr>
        <w:pStyle w:val="BodyText"/>
        <w:kinsoku w:val="0"/>
        <w:overflowPunct w:val="0"/>
        <w:jc w:val="center"/>
        <w:rPr>
          <w:b/>
          <w:i/>
          <w:sz w:val="28"/>
          <w:szCs w:val="28"/>
        </w:rPr>
      </w:pPr>
      <w:r w:rsidRPr="00FD2E30">
        <w:rPr>
          <w:b/>
          <w:i/>
          <w:sz w:val="28"/>
          <w:szCs w:val="28"/>
        </w:rPr>
        <w:t>Notes and Questions</w:t>
      </w:r>
    </w:p>
    <w:p w14:paraId="04E2DEB9" w14:textId="77777777" w:rsidR="0070589C" w:rsidRDefault="0070589C" w:rsidP="0070589C">
      <w:pPr>
        <w:pStyle w:val="BodyText"/>
        <w:rPr>
          <w:b/>
        </w:rPr>
      </w:pPr>
    </w:p>
    <w:p w14:paraId="0E870845" w14:textId="77777777" w:rsidR="0070589C" w:rsidRDefault="0070589C" w:rsidP="0070589C">
      <w:pPr>
        <w:pStyle w:val="BodyText"/>
        <w:ind w:right="540" w:firstLine="720"/>
        <w:jc w:val="both"/>
        <w:rPr>
          <w:bCs/>
        </w:rPr>
      </w:pPr>
      <w:r w:rsidRPr="006558D9">
        <w:rPr>
          <w:b/>
        </w:rPr>
        <w:t xml:space="preserve">1.  EPA </w:t>
      </w:r>
      <w:r w:rsidRPr="006558D9">
        <w:rPr>
          <w:b/>
          <w:i/>
          <w:iCs/>
        </w:rPr>
        <w:t>EJ Legal Tools</w:t>
      </w:r>
      <w:r>
        <w:rPr>
          <w:b/>
        </w:rPr>
        <w:t xml:space="preserve">.  </w:t>
      </w:r>
      <w:r>
        <w:rPr>
          <w:bCs/>
        </w:rPr>
        <w:t xml:space="preserve">Expanding upon the “wide authority” discussed by </w:t>
      </w:r>
      <w:r>
        <w:rPr>
          <w:bCs/>
        </w:rPr>
        <w:lastRenderedPageBreak/>
        <w:t xml:space="preserve">Professors Lazarus and Tai, this note sheds light on the extensive EJ Legal Tools legal memo prepared by EPA’s Office of General Counsel and published during the Obama Administration.  The note asks students to question why this memo, of “existing authorities,” proved so controversial and took ten years for public release.  Using this memo as a basis, the students’ role-play designing a new permitting scheme could be supported by existing law, or inquire into the need to create new law.  </w:t>
      </w:r>
    </w:p>
    <w:p w14:paraId="6D550738" w14:textId="77777777" w:rsidR="0070589C" w:rsidRDefault="0070589C" w:rsidP="0070589C">
      <w:pPr>
        <w:pStyle w:val="BodyText"/>
        <w:ind w:firstLine="720"/>
        <w:rPr>
          <w:bCs/>
        </w:rPr>
      </w:pPr>
    </w:p>
    <w:p w14:paraId="7202EC79" w14:textId="77777777" w:rsidR="0070589C" w:rsidRDefault="0070589C" w:rsidP="0070589C">
      <w:pPr>
        <w:pStyle w:val="BodyText"/>
        <w:ind w:right="540" w:firstLine="720"/>
        <w:jc w:val="both"/>
        <w:rPr>
          <w:bCs/>
        </w:rPr>
      </w:pPr>
      <w:r w:rsidRPr="00321004">
        <w:rPr>
          <w:b/>
        </w:rPr>
        <w:t>2.  EPA policies for EJ in permitting</w:t>
      </w:r>
      <w:r>
        <w:rPr>
          <w:b/>
        </w:rPr>
        <w:t xml:space="preserve">.  </w:t>
      </w:r>
      <w:r>
        <w:rPr>
          <w:bCs/>
        </w:rPr>
        <w:t>Similarly, this note</w:t>
      </w:r>
      <w:r w:rsidRPr="00321004">
        <w:rPr>
          <w:b/>
        </w:rPr>
        <w:t xml:space="preserve"> </w:t>
      </w:r>
      <w:r>
        <w:rPr>
          <w:bCs/>
        </w:rPr>
        <w:t xml:space="preserve">highlights additional EPA policy to consider EJ, specifically, the </w:t>
      </w:r>
      <w:r w:rsidRPr="00321004">
        <w:rPr>
          <w:bCs/>
          <w:i/>
          <w:iCs/>
        </w:rPr>
        <w:t>policy</w:t>
      </w:r>
      <w:r>
        <w:rPr>
          <w:bCs/>
        </w:rPr>
        <w:t xml:space="preserve"> to establish appropriate terms and conditions to address environmental justice, and methods to increase meaningful affected community participation.  The students’ permitting activity could also be informed by these two important policies.  As a threshold issue, students should be critical of how agency policies may rise to the force of law.</w:t>
      </w:r>
    </w:p>
    <w:p w14:paraId="7536C4FB" w14:textId="77777777" w:rsidR="0070589C" w:rsidRDefault="0070589C" w:rsidP="0070589C">
      <w:pPr>
        <w:pStyle w:val="BodyText"/>
        <w:ind w:firstLine="720"/>
        <w:rPr>
          <w:bCs/>
        </w:rPr>
      </w:pPr>
    </w:p>
    <w:p w14:paraId="512FC818" w14:textId="77777777" w:rsidR="0070589C" w:rsidRDefault="0070589C" w:rsidP="0070589C">
      <w:pPr>
        <w:pStyle w:val="BodyText"/>
        <w:ind w:right="540" w:firstLine="720"/>
        <w:jc w:val="both"/>
        <w:rPr>
          <w:bCs/>
        </w:rPr>
      </w:pPr>
      <w:r w:rsidRPr="000E7BBB">
        <w:rPr>
          <w:b/>
        </w:rPr>
        <w:t>3.  The Environmental Appeals Board</w:t>
      </w:r>
      <w:r>
        <w:rPr>
          <w:b/>
        </w:rPr>
        <w:t xml:space="preserve">.  </w:t>
      </w:r>
      <w:r>
        <w:rPr>
          <w:bCs/>
        </w:rPr>
        <w:t>This note, the one below, and the three EAB cases that follow should be read together</w:t>
      </w:r>
      <w:r w:rsidRPr="000E7BBB">
        <w:rPr>
          <w:b/>
        </w:rPr>
        <w:t xml:space="preserve"> </w:t>
      </w:r>
      <w:r>
        <w:rPr>
          <w:bCs/>
        </w:rPr>
        <w:t xml:space="preserve">to evaluate how the EAB decisions either support the permitting status quo or encourage the development of more protective permitting approaches.  </w:t>
      </w:r>
    </w:p>
    <w:p w14:paraId="311C24C0" w14:textId="77777777" w:rsidR="0070589C" w:rsidRDefault="0070589C" w:rsidP="0070589C">
      <w:pPr>
        <w:pStyle w:val="BodyText"/>
        <w:ind w:firstLine="720"/>
        <w:rPr>
          <w:bCs/>
        </w:rPr>
      </w:pPr>
    </w:p>
    <w:p w14:paraId="1FBAA009" w14:textId="77777777" w:rsidR="0070589C" w:rsidRPr="000E7BBB" w:rsidRDefault="0070589C" w:rsidP="0070589C">
      <w:pPr>
        <w:pStyle w:val="BodyText"/>
        <w:ind w:right="540" w:firstLine="720"/>
        <w:jc w:val="both"/>
        <w:rPr>
          <w:b/>
        </w:rPr>
      </w:pPr>
      <w:r w:rsidRPr="000E7BBB">
        <w:rPr>
          <w:b/>
        </w:rPr>
        <w:t>4.  The Executive Order</w:t>
      </w:r>
      <w:r>
        <w:rPr>
          <w:b/>
        </w:rPr>
        <w:t xml:space="preserve">.  </w:t>
      </w:r>
      <w:r>
        <w:rPr>
          <w:bCs/>
        </w:rPr>
        <w:t xml:space="preserve">Picking up from Notes and Question 2 above, this note cues the discussion of EAB cases where permitting reviewing bodies’ interpretation of agency policy can create precedent, and therefore, prompt the development of substantive environmental justice criteria in permitting.  </w:t>
      </w:r>
      <w:r w:rsidRPr="000E7BBB">
        <w:rPr>
          <w:b/>
        </w:rPr>
        <w:t xml:space="preserve"> </w:t>
      </w:r>
    </w:p>
    <w:p w14:paraId="559A3B48" w14:textId="77777777" w:rsidR="0070589C" w:rsidRPr="006558D9" w:rsidRDefault="0070589C" w:rsidP="0070589C">
      <w:pPr>
        <w:pStyle w:val="BodyText"/>
        <w:ind w:firstLine="720"/>
        <w:rPr>
          <w:bCs/>
        </w:rPr>
      </w:pPr>
    </w:p>
    <w:p w14:paraId="18E113F9" w14:textId="77777777" w:rsidR="0070589C" w:rsidRDefault="0070589C" w:rsidP="0070589C">
      <w:pPr>
        <w:pStyle w:val="BodyText"/>
        <w:ind w:right="540" w:firstLine="720"/>
        <w:jc w:val="both"/>
        <w:rPr>
          <w:bCs/>
        </w:rPr>
      </w:pPr>
      <w:r>
        <w:rPr>
          <w:bCs/>
        </w:rPr>
        <w:t xml:space="preserve">First, </w:t>
      </w:r>
      <w:r w:rsidRPr="005C03F3">
        <w:rPr>
          <w:b/>
          <w:i/>
          <w:iCs/>
        </w:rPr>
        <w:t>In re Chemical Waste Management of Indiana, Inc.</w:t>
      </w:r>
      <w:r>
        <w:rPr>
          <w:bCs/>
        </w:rPr>
        <w:t xml:space="preserve"> addresses three petitions challenging U.S. EPA Region V’s issuance of a final permit decision approving the RCRA permit for the Adams Center Landfill Facility in Fort Wayne, Indiana.  Note that the EAB case is from 1995, and the EAB is confronting EJ for seemingly the first time, as indicated by their observation of comments on the permit where “Petitioners and other commenters raised what the parties refer to as “environmental justice” concerns.  Also noteworthy, EO 12898 was signed into effect during the landfill facility’s permitting process.  This case therefore represents a federal agency’s first attempt to address environmental justice under first, the EO, and second, RCRA.  The following two EAB cases in the chapter allow students to investigate how, why, and to what degree permitting approaches have changed over time.   </w:t>
      </w:r>
    </w:p>
    <w:p w14:paraId="0DC7F0A1" w14:textId="77777777" w:rsidR="0070589C" w:rsidRDefault="0070589C" w:rsidP="0070589C">
      <w:pPr>
        <w:pStyle w:val="BodyText"/>
        <w:ind w:firstLine="720"/>
        <w:rPr>
          <w:bCs/>
        </w:rPr>
      </w:pPr>
    </w:p>
    <w:p w14:paraId="4A671AAB" w14:textId="77777777" w:rsidR="0070589C" w:rsidRPr="005C03F3" w:rsidRDefault="0070589C" w:rsidP="0070589C">
      <w:pPr>
        <w:pStyle w:val="BodyText"/>
        <w:jc w:val="center"/>
        <w:rPr>
          <w:b/>
          <w:i/>
          <w:iCs/>
          <w:sz w:val="28"/>
          <w:szCs w:val="28"/>
        </w:rPr>
      </w:pPr>
      <w:r w:rsidRPr="005C03F3">
        <w:rPr>
          <w:b/>
          <w:i/>
          <w:iCs/>
          <w:sz w:val="28"/>
          <w:szCs w:val="28"/>
        </w:rPr>
        <w:t>Notes and Questions</w:t>
      </w:r>
    </w:p>
    <w:p w14:paraId="7076E537" w14:textId="77777777" w:rsidR="0070589C" w:rsidRDefault="0070589C" w:rsidP="0070589C">
      <w:pPr>
        <w:pStyle w:val="BodyText"/>
        <w:rPr>
          <w:bCs/>
        </w:rPr>
      </w:pPr>
    </w:p>
    <w:p w14:paraId="1C4459AE" w14:textId="77777777" w:rsidR="0070589C" w:rsidRDefault="0070589C" w:rsidP="0070589C">
      <w:pPr>
        <w:pStyle w:val="BodyText"/>
        <w:ind w:right="540"/>
        <w:jc w:val="both"/>
        <w:rPr>
          <w:bCs/>
        </w:rPr>
      </w:pPr>
      <w:r>
        <w:rPr>
          <w:bCs/>
        </w:rPr>
        <w:tab/>
      </w:r>
      <w:r w:rsidRPr="002C52C0">
        <w:rPr>
          <w:b/>
        </w:rPr>
        <w:t>1.  Trigger for EJ analysis?</w:t>
      </w:r>
      <w:r>
        <w:rPr>
          <w:bCs/>
        </w:rPr>
        <w:t xml:space="preserve">  This note examines when an agency is required to perform an EJ analysis.  Students may benefit from a discussion of why the EAB states that agencies “should” instead of “shall” conduct such an analysis in response to a “superficially plausible claim.”  Students may also be interested in how the burden of proof of disproportionate impacts shifts in this scenario.  </w:t>
      </w:r>
      <w:r>
        <w:rPr>
          <w:b/>
        </w:rPr>
        <w:t xml:space="preserve">    </w:t>
      </w:r>
    </w:p>
    <w:p w14:paraId="053134DE" w14:textId="77777777" w:rsidR="0070589C" w:rsidRPr="007918E3" w:rsidRDefault="0070589C" w:rsidP="0070589C">
      <w:pPr>
        <w:pStyle w:val="BodyText"/>
        <w:rPr>
          <w:bCs/>
        </w:rPr>
      </w:pPr>
      <w:r>
        <w:rPr>
          <w:bCs/>
        </w:rPr>
        <w:tab/>
      </w:r>
    </w:p>
    <w:p w14:paraId="4BC5D528" w14:textId="77777777" w:rsidR="0070589C" w:rsidRDefault="0070589C" w:rsidP="0070589C">
      <w:pPr>
        <w:pStyle w:val="BodyText"/>
        <w:ind w:right="540" w:firstLine="720"/>
        <w:jc w:val="both"/>
        <w:rPr>
          <w:bCs/>
        </w:rPr>
      </w:pPr>
      <w:r w:rsidRPr="005C03F3">
        <w:rPr>
          <w:b/>
        </w:rPr>
        <w:t>2.  The bounds of regulatory discretion</w:t>
      </w:r>
      <w:r>
        <w:rPr>
          <w:b/>
        </w:rPr>
        <w:t xml:space="preserve">.  </w:t>
      </w:r>
      <w:r>
        <w:rPr>
          <w:bCs/>
        </w:rPr>
        <w:t>Before students proceed to the next two EAB cases discussing the outer bounds of regulatory discretio</w:t>
      </w:r>
      <w:r w:rsidRPr="005C03F3">
        <w:rPr>
          <w:bCs/>
        </w:rPr>
        <w:t xml:space="preserve">n to condition or deny a permit based on EJ considerations, it may be worthwhile to first inquire into the </w:t>
      </w:r>
      <w:r w:rsidRPr="005C03F3">
        <w:t xml:space="preserve">methodology for </w:t>
      </w:r>
      <w:r w:rsidRPr="005C03F3">
        <w:lastRenderedPageBreak/>
        <w:t>identifying a potential environmental justice community</w:t>
      </w:r>
      <w:r>
        <w:t>. The methodology for</w:t>
      </w:r>
      <w:r w:rsidRPr="005C03F3">
        <w:t xml:space="preserve"> determining disparity</w:t>
      </w:r>
      <w:r>
        <w:t xml:space="preserve"> should be explored as well, since it</w:t>
      </w:r>
      <w:r w:rsidRPr="005C03F3">
        <w:t xml:space="preserve"> is not only particularly difficult and vulnerable to complicating factors, but is also continually changing and evolving.  What is the role of an administrative law judge or court in reviewing this critical threshold question?</w:t>
      </w:r>
      <w:r>
        <w:rPr>
          <w:b/>
        </w:rPr>
        <w:t xml:space="preserve">  </w:t>
      </w:r>
      <w:r w:rsidRPr="001C7029">
        <w:rPr>
          <w:bCs/>
        </w:rPr>
        <w:t xml:space="preserve">Like civil court judges, administrative law judges tend to be deferential towards agencies, especially when questions are factually complicated. </w:t>
      </w:r>
      <w:r>
        <w:rPr>
          <w:bCs/>
        </w:rPr>
        <w:t xml:space="preserve"> </w:t>
      </w:r>
      <w:r w:rsidRPr="001C7029">
        <w:rPr>
          <w:bCs/>
        </w:rPr>
        <w:t>This difficult factual determination is not necessarily within the realm of expertise of either the permitting official or the administrative law judge.</w:t>
      </w:r>
      <w:r>
        <w:rPr>
          <w:bCs/>
        </w:rPr>
        <w:t xml:space="preserve"> </w:t>
      </w:r>
      <w:r w:rsidRPr="001C7029">
        <w:rPr>
          <w:bCs/>
        </w:rPr>
        <w:t xml:space="preserve"> Instead</w:t>
      </w:r>
      <w:r>
        <w:rPr>
          <w:bCs/>
        </w:rPr>
        <w:t xml:space="preserve">, </w:t>
      </w:r>
      <w:r w:rsidRPr="001C7029">
        <w:rPr>
          <w:bCs/>
        </w:rPr>
        <w:t>disproportionate impact claims</w:t>
      </w:r>
      <w:r>
        <w:rPr>
          <w:bCs/>
        </w:rPr>
        <w:t xml:space="preserve">, </w:t>
      </w:r>
      <w:r w:rsidRPr="001C7029">
        <w:rPr>
          <w:bCs/>
        </w:rPr>
        <w:t>whether brought as challenges to permit approvals or as civil rights claims</w:t>
      </w:r>
      <w:r>
        <w:rPr>
          <w:bCs/>
        </w:rPr>
        <w:t xml:space="preserve">, </w:t>
      </w:r>
      <w:r w:rsidRPr="001C7029">
        <w:rPr>
          <w:bCs/>
        </w:rPr>
        <w:t xml:space="preserve">are relatively new. </w:t>
      </w:r>
      <w:r>
        <w:rPr>
          <w:bCs/>
        </w:rPr>
        <w:t xml:space="preserve"> </w:t>
      </w:r>
      <w:r w:rsidRPr="001C7029">
        <w:rPr>
          <w:bCs/>
        </w:rPr>
        <w:t>The students may have different opinions as to whether the administrative law judge should look at this factual determination with a “hard look,” or with greater deference.</w:t>
      </w:r>
      <w:r>
        <w:rPr>
          <w:bCs/>
        </w:rPr>
        <w:t xml:space="preserve"> </w:t>
      </w:r>
      <w:r w:rsidRPr="001C7029">
        <w:rPr>
          <w:bCs/>
        </w:rPr>
        <w:t xml:space="preserve"> </w:t>
      </w:r>
    </w:p>
    <w:p w14:paraId="7F8F3552" w14:textId="77777777" w:rsidR="0070589C" w:rsidRDefault="0070589C" w:rsidP="0070589C">
      <w:pPr>
        <w:pStyle w:val="BodyText"/>
        <w:rPr>
          <w:bCs/>
        </w:rPr>
      </w:pPr>
    </w:p>
    <w:p w14:paraId="33FD8A2B" w14:textId="77777777" w:rsidR="0070589C" w:rsidRDefault="0070589C" w:rsidP="0070589C">
      <w:pPr>
        <w:pStyle w:val="BodyText"/>
        <w:ind w:right="540"/>
        <w:jc w:val="both"/>
        <w:rPr>
          <w:bCs/>
        </w:rPr>
      </w:pPr>
      <w:r>
        <w:rPr>
          <w:bCs/>
        </w:rPr>
        <w:tab/>
        <w:t xml:space="preserve">Next, to further discussion of federal authority, we have included </w:t>
      </w:r>
      <w:r w:rsidRPr="009A0A8E">
        <w:rPr>
          <w:b/>
          <w:i/>
          <w:iCs/>
        </w:rPr>
        <w:t>In re Shell Gulf of Mexico, Inc. and In re Shell Offshore, Inc.</w:t>
      </w:r>
      <w:r>
        <w:rPr>
          <w:bCs/>
        </w:rPr>
        <w:t xml:space="preserve">, as an example of a case where a federal agency does deny a permit based on environmental justice concerns.  In this case, more than ten years after </w:t>
      </w:r>
      <w:r>
        <w:rPr>
          <w:bCs/>
          <w:i/>
          <w:iCs/>
        </w:rPr>
        <w:t xml:space="preserve">In Re Chemical Waste Management of </w:t>
      </w:r>
      <w:r w:rsidRPr="00F70DBF">
        <w:rPr>
          <w:bCs/>
          <w:i/>
          <w:iCs/>
        </w:rPr>
        <w:t>Indiana</w:t>
      </w:r>
      <w:r>
        <w:rPr>
          <w:bCs/>
        </w:rPr>
        <w:t xml:space="preserve">, </w:t>
      </w:r>
      <w:r w:rsidRPr="00F70DBF">
        <w:rPr>
          <w:bCs/>
        </w:rPr>
        <w:t>Petitioners</w:t>
      </w:r>
      <w:r>
        <w:rPr>
          <w:bCs/>
        </w:rPr>
        <w:t xml:space="preserve"> challenged the operation of Shell’s drill rigs within the Outer Continental Shelf of the United States.  The drill rigs presented potentially significant impacts to residents of Alaska’s North Slope, including Alaska Native villages.  Concerned community members challenged the EPA’s issued Clean Air Act permits.  The EAB again took on the application of EO 12898 to federal permitting decisions, and held that mere compliance with the NAAQS did not ensure compliance with the EO.  Central to the opinion, the EPA had permitted the drill rigs, but at the same time, also finalized a new 1-hour NO2 NAAQS prior to the issuance of the permits, and the “Administrator had already concluded . . . that the annual NO2 NAAQS alone did not provide requisite protection of the public health.”   </w:t>
      </w:r>
    </w:p>
    <w:p w14:paraId="20AA655F" w14:textId="77777777" w:rsidR="0070589C" w:rsidRDefault="0070589C" w:rsidP="0070589C">
      <w:pPr>
        <w:pStyle w:val="BodyText"/>
        <w:rPr>
          <w:bCs/>
        </w:rPr>
      </w:pPr>
    </w:p>
    <w:p w14:paraId="43FFA782" w14:textId="77777777" w:rsidR="0070589C" w:rsidRDefault="0070589C" w:rsidP="0070589C">
      <w:pPr>
        <w:pStyle w:val="BodyText"/>
        <w:jc w:val="center"/>
        <w:rPr>
          <w:bCs/>
        </w:rPr>
      </w:pPr>
      <w:r w:rsidRPr="005C03F3">
        <w:rPr>
          <w:b/>
          <w:i/>
          <w:iCs/>
          <w:sz w:val="28"/>
          <w:szCs w:val="28"/>
        </w:rPr>
        <w:t>Notes and Questions</w:t>
      </w:r>
    </w:p>
    <w:p w14:paraId="41C9F055" w14:textId="77777777" w:rsidR="0070589C" w:rsidRDefault="0070589C" w:rsidP="0070589C">
      <w:pPr>
        <w:pStyle w:val="BodyText"/>
        <w:rPr>
          <w:bCs/>
        </w:rPr>
      </w:pPr>
    </w:p>
    <w:p w14:paraId="7B15B901" w14:textId="77777777" w:rsidR="0070589C" w:rsidRPr="008C5834" w:rsidRDefault="0070589C" w:rsidP="0070589C">
      <w:pPr>
        <w:pStyle w:val="BodyText"/>
        <w:ind w:right="540" w:firstLine="720"/>
        <w:jc w:val="both"/>
        <w:rPr>
          <w:bCs/>
        </w:rPr>
      </w:pPr>
      <w:r w:rsidRPr="008C5834">
        <w:rPr>
          <w:b/>
        </w:rPr>
        <w:t xml:space="preserve">1.  Compliance with the NAAQS? </w:t>
      </w:r>
      <w:r>
        <w:rPr>
          <w:b/>
        </w:rPr>
        <w:t xml:space="preserve"> </w:t>
      </w:r>
      <w:r w:rsidRPr="008C5834">
        <w:rPr>
          <w:bCs/>
        </w:rPr>
        <w:t>This note attempt</w:t>
      </w:r>
      <w:r>
        <w:rPr>
          <w:bCs/>
        </w:rPr>
        <w:t xml:space="preserve">s to further tease out this distinction of the agency’s determination and under what specific circumstances compliance with the NAAQS still warrants additional environmental justice assessments or actions.  Can students think of other situations where compliance with federal standards </w:t>
      </w:r>
      <w:r w:rsidRPr="008C5834">
        <w:rPr>
          <w:bCs/>
          <w:i/>
          <w:iCs/>
        </w:rPr>
        <w:t>requires</w:t>
      </w:r>
      <w:r>
        <w:rPr>
          <w:bCs/>
        </w:rPr>
        <w:t xml:space="preserve"> an additional environmental justice assessment or mitigation?            </w:t>
      </w:r>
    </w:p>
    <w:p w14:paraId="0B674A30" w14:textId="77777777" w:rsidR="0070589C" w:rsidRDefault="0070589C" w:rsidP="0070589C">
      <w:pPr>
        <w:pStyle w:val="BodyText"/>
        <w:rPr>
          <w:bCs/>
        </w:rPr>
      </w:pPr>
      <w:r>
        <w:rPr>
          <w:bCs/>
        </w:rPr>
        <w:tab/>
      </w:r>
    </w:p>
    <w:p w14:paraId="1495B96E" w14:textId="77777777" w:rsidR="0070589C" w:rsidRPr="008C5834" w:rsidRDefault="0070589C" w:rsidP="0070589C">
      <w:pPr>
        <w:pStyle w:val="BodyText"/>
        <w:ind w:right="540"/>
        <w:jc w:val="both"/>
        <w:rPr>
          <w:bCs/>
        </w:rPr>
      </w:pPr>
      <w:r>
        <w:rPr>
          <w:bCs/>
        </w:rPr>
        <w:tab/>
      </w:r>
      <w:r w:rsidRPr="008C5834">
        <w:rPr>
          <w:b/>
        </w:rPr>
        <w:t>2.  Environmental justice precedent.</w:t>
      </w:r>
      <w:r>
        <w:rPr>
          <w:b/>
        </w:rPr>
        <w:t xml:space="preserve">  </w:t>
      </w:r>
      <w:r>
        <w:rPr>
          <w:bCs/>
        </w:rPr>
        <w:t xml:space="preserve">Despite the ultimate outcome of this case, as this note comments, students may appreciate the importance of how precedent for an environmental justice was established.  This may spur a discussion of the value of precedent.  The next case illustrates how that precedent was then followed, and can potentially be built upon in the future.  </w:t>
      </w:r>
    </w:p>
    <w:p w14:paraId="4EF767F5" w14:textId="77777777" w:rsidR="0070589C" w:rsidRDefault="0070589C" w:rsidP="0070589C">
      <w:pPr>
        <w:pStyle w:val="BodyText"/>
        <w:rPr>
          <w:bCs/>
        </w:rPr>
      </w:pPr>
    </w:p>
    <w:p w14:paraId="045C0849" w14:textId="77777777" w:rsidR="0070589C" w:rsidRDefault="0070589C" w:rsidP="0070589C">
      <w:pPr>
        <w:pStyle w:val="BodyText"/>
        <w:ind w:right="540" w:firstLine="720"/>
        <w:jc w:val="both"/>
        <w:rPr>
          <w:bCs/>
        </w:rPr>
      </w:pPr>
      <w:r>
        <w:rPr>
          <w:bCs/>
        </w:rPr>
        <w:t xml:space="preserve">Finally, </w:t>
      </w:r>
      <w:r w:rsidRPr="008C5834">
        <w:rPr>
          <w:b/>
          <w:i/>
          <w:iCs/>
        </w:rPr>
        <w:t>In re Avenal Power Center, LLC</w:t>
      </w:r>
      <w:r>
        <w:rPr>
          <w:bCs/>
        </w:rPr>
        <w:t xml:space="preserve"> shows how EPA followed environmental justice analysis of </w:t>
      </w:r>
      <w:r w:rsidRPr="00860FA5">
        <w:rPr>
          <w:bCs/>
          <w:i/>
          <w:iCs/>
        </w:rPr>
        <w:t>Shell II</w:t>
      </w:r>
      <w:r>
        <w:rPr>
          <w:bCs/>
        </w:rPr>
        <w:t xml:space="preserve">.  In this case, EPA prepared a thirty-one-page environmental justice analysis prior to granting a permit under the Clean Air Act PSD program for a natural gas-fired power plant in the Central Valley of California.  The Agency believed that it had discharged its duties under EO 12898.  It analyzed the demographic, health related and air quality data for nearby communities, Avenal, Huron and Kettleman City, and found that </w:t>
      </w:r>
      <w:r>
        <w:rPr>
          <w:bCs/>
        </w:rPr>
        <w:lastRenderedPageBreak/>
        <w:t xml:space="preserve">those minority and low-income populations may be impacted by emissions from the proposed facility.  The EPA, however, again maintained that compliance with the NAAQs, here (annual average) NO2 and PM10, was sufficient to demonstrate that there would be no disproportionate impact on these populations.  El Pueblo Para El Aire y Agua Limpio, Greenaction for Health and Environmental Justice, Sierra Club, and the Center for Biological Diversity challenged the EPA’s determination.  The EAB ultimately deferred to EPA’s analysis, despite minimal air quality, hourly NO2, data around the proposed facility.            </w:t>
      </w:r>
    </w:p>
    <w:p w14:paraId="59B689AC" w14:textId="77777777" w:rsidR="0070589C" w:rsidRDefault="0070589C" w:rsidP="0070589C">
      <w:pPr>
        <w:pStyle w:val="BodyText"/>
        <w:rPr>
          <w:bCs/>
        </w:rPr>
      </w:pPr>
    </w:p>
    <w:p w14:paraId="4ACC6B51" w14:textId="77777777" w:rsidR="0070589C" w:rsidRDefault="0070589C" w:rsidP="0070589C">
      <w:pPr>
        <w:pStyle w:val="BodyText"/>
        <w:ind w:right="540" w:firstLine="720"/>
        <w:jc w:val="both"/>
        <w:rPr>
          <w:bCs/>
        </w:rPr>
      </w:pPr>
      <w:r w:rsidRPr="00860FA5">
        <w:rPr>
          <w:b/>
        </w:rPr>
        <w:t>1.  Postscript.</w:t>
      </w:r>
      <w:r>
        <w:rPr>
          <w:b/>
        </w:rPr>
        <w:t xml:space="preserve">  </w:t>
      </w:r>
      <w:r>
        <w:rPr>
          <w:bCs/>
        </w:rPr>
        <w:t xml:space="preserve">This note perhaps solidifies the reach of current federal authority and can finally answer the question, “is compliance with the NAAQs sufficient?”  Students may compare the reasoning behind the holding of </w:t>
      </w:r>
      <w:r w:rsidRPr="00923C0E">
        <w:rPr>
          <w:bCs/>
          <w:i/>
          <w:iCs/>
        </w:rPr>
        <w:t>Sierra Club v. EPA</w:t>
      </w:r>
      <w:r>
        <w:rPr>
          <w:bCs/>
        </w:rPr>
        <w:t xml:space="preserve"> (the failure to include recently updated NAAQs in an analysis), with that of </w:t>
      </w:r>
      <w:r w:rsidRPr="00923C0E">
        <w:rPr>
          <w:bCs/>
          <w:i/>
          <w:iCs/>
        </w:rPr>
        <w:t>Shell II</w:t>
      </w:r>
      <w:r>
        <w:rPr>
          <w:bCs/>
        </w:rPr>
        <w:t>.</w:t>
      </w:r>
    </w:p>
    <w:p w14:paraId="1F3DE87B" w14:textId="77777777" w:rsidR="0070589C" w:rsidRDefault="0070589C" w:rsidP="0070589C">
      <w:pPr>
        <w:pStyle w:val="BodyText"/>
        <w:ind w:firstLine="720"/>
        <w:jc w:val="both"/>
        <w:rPr>
          <w:bCs/>
        </w:rPr>
      </w:pPr>
    </w:p>
    <w:p w14:paraId="250C794C" w14:textId="77777777" w:rsidR="0070589C" w:rsidRPr="00A241E6" w:rsidRDefault="0070589C" w:rsidP="0070589C">
      <w:pPr>
        <w:pStyle w:val="BodyText"/>
        <w:ind w:right="540" w:firstLine="720"/>
        <w:jc w:val="both"/>
        <w:rPr>
          <w:b/>
        </w:rPr>
      </w:pPr>
      <w:r w:rsidRPr="00A241E6">
        <w:rPr>
          <w:b/>
        </w:rPr>
        <w:t>2.  Right to Appeal.</w:t>
      </w:r>
      <w:r>
        <w:rPr>
          <w:b/>
        </w:rPr>
        <w:t xml:space="preserve">  </w:t>
      </w:r>
      <w:r>
        <w:rPr>
          <w:bCs/>
        </w:rPr>
        <w:t xml:space="preserve">This note seeks to have students consider, among other things, the role of the lawyer in an environmental justice campaign.  Students could also consider whether their hypothetical permitting schemes should, or should not, include a right to appeal, and if so, to what body. </w:t>
      </w:r>
      <w:r w:rsidRPr="00A241E6">
        <w:rPr>
          <w:b/>
        </w:rPr>
        <w:t xml:space="preserve">  </w:t>
      </w:r>
    </w:p>
    <w:p w14:paraId="6A961E71" w14:textId="77777777" w:rsidR="0070589C" w:rsidRDefault="0070589C" w:rsidP="0070589C">
      <w:pPr>
        <w:pStyle w:val="BodyText"/>
        <w:jc w:val="both"/>
        <w:rPr>
          <w:bCs/>
        </w:rPr>
      </w:pPr>
    </w:p>
    <w:p w14:paraId="1C1AB9FB" w14:textId="77777777" w:rsidR="0070589C" w:rsidRPr="00A241E6" w:rsidRDefault="0070589C" w:rsidP="0070589C">
      <w:pPr>
        <w:pStyle w:val="BodyText"/>
        <w:ind w:right="540"/>
        <w:jc w:val="both"/>
        <w:rPr>
          <w:bCs/>
        </w:rPr>
      </w:pPr>
      <w:r>
        <w:rPr>
          <w:bCs/>
        </w:rPr>
        <w:tab/>
      </w:r>
      <w:r w:rsidRPr="00A241E6">
        <w:rPr>
          <w:b/>
        </w:rPr>
        <w:t>3.  Outer bounds?</w:t>
      </w:r>
      <w:r>
        <w:rPr>
          <w:bCs/>
        </w:rPr>
        <w:t xml:space="preserve">  This note is self-explanatory; students could consider these themes in their hypothetical permitting scheme, as well as in particular theories of distributive and procedural justice.  Referring to the </w:t>
      </w:r>
      <w:r w:rsidRPr="00A241E6">
        <w:rPr>
          <w:bCs/>
          <w:i/>
          <w:iCs/>
        </w:rPr>
        <w:t>Avenal</w:t>
      </w:r>
      <w:r>
        <w:rPr>
          <w:bCs/>
        </w:rPr>
        <w:t xml:space="preserve"> case, this permitting scheme could also include additional and related agency measures such as improved air monitoring in and around environmental justice communities.   </w:t>
      </w:r>
    </w:p>
    <w:p w14:paraId="485D9F5C" w14:textId="77777777" w:rsidR="0070589C" w:rsidRDefault="0070589C" w:rsidP="0070589C">
      <w:pPr>
        <w:pStyle w:val="BodyText"/>
        <w:rPr>
          <w:bCs/>
        </w:rPr>
      </w:pPr>
    </w:p>
    <w:p w14:paraId="4AB769B5" w14:textId="77777777" w:rsidR="0070589C" w:rsidRDefault="0070589C" w:rsidP="0070589C">
      <w:pPr>
        <w:pStyle w:val="BodyText"/>
        <w:ind w:right="540"/>
        <w:jc w:val="both"/>
        <w:rPr>
          <w:bCs/>
        </w:rPr>
      </w:pPr>
      <w:r>
        <w:rPr>
          <w:bCs/>
        </w:rPr>
        <w:tab/>
      </w:r>
      <w:r w:rsidRPr="001C2ADD">
        <w:rPr>
          <w:b/>
        </w:rPr>
        <w:t>4.  NEPA’s EJ analysis in the permitting context.</w:t>
      </w:r>
      <w:r>
        <w:rPr>
          <w:bCs/>
        </w:rPr>
        <w:t xml:space="preserve">  This note calls on students to compare the EJ analyses in </w:t>
      </w:r>
      <w:r w:rsidRPr="00A241E6">
        <w:rPr>
          <w:bCs/>
          <w:i/>
          <w:iCs/>
        </w:rPr>
        <w:t>Avenal</w:t>
      </w:r>
      <w:r>
        <w:rPr>
          <w:bCs/>
        </w:rPr>
        <w:t xml:space="preserve"> with that completed for the Dakota Access Pipeline.  Specifically, how does the “hard look” approach in </w:t>
      </w:r>
      <w:r w:rsidRPr="001C2ADD">
        <w:rPr>
          <w:bCs/>
          <w:i/>
          <w:iCs/>
        </w:rPr>
        <w:t>Standing Rock Sioux Tribe</w:t>
      </w:r>
      <w:r>
        <w:rPr>
          <w:bCs/>
        </w:rPr>
        <w:t xml:space="preserve"> square with the “considered judgment . . . [that could] not reach a determinative conclusion” in </w:t>
      </w:r>
      <w:r w:rsidRPr="001C2ADD">
        <w:rPr>
          <w:bCs/>
          <w:i/>
          <w:iCs/>
        </w:rPr>
        <w:t>Avenal</w:t>
      </w:r>
      <w:r>
        <w:rPr>
          <w:bCs/>
        </w:rPr>
        <w:t xml:space="preserve">?  Students could also consider factors outside of the courtroom and legal briefs.      </w:t>
      </w:r>
    </w:p>
    <w:p w14:paraId="795F240F" w14:textId="77777777" w:rsidR="0070589C" w:rsidRDefault="0070589C" w:rsidP="0070589C">
      <w:pPr>
        <w:pStyle w:val="BodyText"/>
        <w:rPr>
          <w:bCs/>
        </w:rPr>
      </w:pPr>
    </w:p>
    <w:p w14:paraId="51F75573" w14:textId="77777777" w:rsidR="0070589C" w:rsidRPr="00C13864" w:rsidRDefault="0070589C" w:rsidP="0070589C">
      <w:pPr>
        <w:pStyle w:val="BodyText"/>
        <w:jc w:val="center"/>
        <w:rPr>
          <w:b/>
        </w:rPr>
      </w:pPr>
      <w:r w:rsidRPr="00C13864">
        <w:rPr>
          <w:b/>
        </w:rPr>
        <w:t>C.  Environmental Justice Claims in State Permitting Proceedings</w:t>
      </w:r>
    </w:p>
    <w:p w14:paraId="1895FC50" w14:textId="77777777" w:rsidR="0070589C" w:rsidRPr="007918E3" w:rsidRDefault="0070589C" w:rsidP="0070589C">
      <w:pPr>
        <w:pStyle w:val="BodyText"/>
        <w:rPr>
          <w:bCs/>
        </w:rPr>
      </w:pPr>
    </w:p>
    <w:p w14:paraId="4CFD533E" w14:textId="77777777" w:rsidR="0070589C" w:rsidRDefault="0070589C" w:rsidP="0070589C">
      <w:pPr>
        <w:pStyle w:val="BodyText"/>
        <w:ind w:right="540"/>
        <w:jc w:val="both"/>
        <w:rPr>
          <w:bCs/>
        </w:rPr>
      </w:pPr>
      <w:r>
        <w:rPr>
          <w:bCs/>
        </w:rPr>
        <w:tab/>
        <w:t xml:space="preserve">Together, </w:t>
      </w:r>
      <w:r w:rsidRPr="00D20B49">
        <w:rPr>
          <w:b/>
          <w:i/>
          <w:iCs/>
        </w:rPr>
        <w:t>NAACP</w:t>
      </w:r>
      <w:r w:rsidRPr="00D20B49">
        <w:rPr>
          <w:b/>
          <w:i/>
          <w:iCs/>
        </w:rPr>
        <w:softHyphen/>
        <w:t>–Flint Chapter v. Engler</w:t>
      </w:r>
      <w:r>
        <w:rPr>
          <w:bCs/>
        </w:rPr>
        <w:t xml:space="preserve"> and </w:t>
      </w:r>
      <w:r w:rsidRPr="00D20B49">
        <w:rPr>
          <w:b/>
          <w:i/>
          <w:iCs/>
        </w:rPr>
        <w:t>Colonias Development Council v. Rhino Environmental Services Inc.</w:t>
      </w:r>
      <w:r>
        <w:rPr>
          <w:bCs/>
        </w:rPr>
        <w:t xml:space="preserve"> illustrate the authority of state government to implement environmental justice protections, and how that has or has not played out.  </w:t>
      </w:r>
    </w:p>
    <w:p w14:paraId="2D6F449F" w14:textId="77777777" w:rsidR="0070589C" w:rsidRDefault="0070589C" w:rsidP="0070589C">
      <w:pPr>
        <w:pStyle w:val="BodyText"/>
        <w:rPr>
          <w:bCs/>
        </w:rPr>
      </w:pPr>
    </w:p>
    <w:p w14:paraId="20A84C19" w14:textId="77777777" w:rsidR="0070589C" w:rsidRPr="007918E3" w:rsidRDefault="0070589C" w:rsidP="0070589C">
      <w:pPr>
        <w:pStyle w:val="BodyText"/>
        <w:ind w:right="540" w:firstLine="720"/>
        <w:jc w:val="both"/>
        <w:rPr>
          <w:bCs/>
        </w:rPr>
      </w:pPr>
      <w:r>
        <w:rPr>
          <w:bCs/>
        </w:rPr>
        <w:t xml:space="preserve">First, in </w:t>
      </w:r>
      <w:r w:rsidRPr="00E7198D">
        <w:rPr>
          <w:b/>
          <w:i/>
          <w:iCs/>
        </w:rPr>
        <w:t>NAACP</w:t>
      </w:r>
      <w:r w:rsidRPr="00E7198D">
        <w:rPr>
          <w:b/>
          <w:i/>
          <w:iCs/>
        </w:rPr>
        <w:softHyphen/>
        <w:t>–Flint Chapter v. Engler</w:t>
      </w:r>
      <w:r>
        <w:rPr>
          <w:bCs/>
          <w:i/>
          <w:iCs/>
        </w:rPr>
        <w:t>,</w:t>
      </w:r>
      <w:r>
        <w:rPr>
          <w:bCs/>
        </w:rPr>
        <w:t xml:space="preserve"> the permitting of the Genesee Power in the Mt. Morris Township’s local government, but to the disproportionate detriment of 50,000 or more African-Americans to the south of the plant in the City of Flint, gave rise to the transcript of the ruling in the text.  </w:t>
      </w:r>
      <w:r>
        <w:t xml:space="preserve">The case </w:t>
      </w:r>
      <w:r>
        <w:rPr>
          <w:bCs/>
        </w:rPr>
        <w:t xml:space="preserve">squarely addresses the recurring issue of the </w:t>
      </w:r>
      <w:r>
        <w:t>extent to which a facility’s compliance with existing standards, including the NAAQs, should be sufficient for granting a permit at the state level, in the face of environmental justice concerns</w:t>
      </w:r>
      <w:r>
        <w:rPr>
          <w:bCs/>
        </w:rPr>
        <w:t xml:space="preserve">.  In particular, “[t]he Federal domain in matters covered by the Clean Air Act has been held not to be exclusive or preemptive of State legislation,” here, requiring a Risk Assessment to determine the environmental impacts of the plant in Flint.  Students should note the court’s conclusion that “there is no remedy at law and therefore it is appropriate to </w:t>
      </w:r>
      <w:r>
        <w:rPr>
          <w:bCs/>
        </w:rPr>
        <w:lastRenderedPageBreak/>
        <w:t>exercise its equitable power. . .</w:t>
      </w:r>
    </w:p>
    <w:p w14:paraId="737C27BB" w14:textId="77777777" w:rsidR="0070589C" w:rsidRDefault="0070589C" w:rsidP="0070589C">
      <w:pPr>
        <w:pStyle w:val="BodyText"/>
        <w:jc w:val="center"/>
        <w:rPr>
          <w:b/>
          <w:i/>
          <w:iCs/>
          <w:sz w:val="28"/>
          <w:szCs w:val="28"/>
        </w:rPr>
      </w:pPr>
    </w:p>
    <w:p w14:paraId="7D0D2A2A" w14:textId="77777777" w:rsidR="0070589C" w:rsidRDefault="0070589C" w:rsidP="0070589C">
      <w:pPr>
        <w:pStyle w:val="BodyText"/>
        <w:jc w:val="center"/>
        <w:rPr>
          <w:bCs/>
        </w:rPr>
      </w:pPr>
      <w:r w:rsidRPr="005C03F3">
        <w:rPr>
          <w:b/>
          <w:i/>
          <w:iCs/>
          <w:sz w:val="28"/>
          <w:szCs w:val="28"/>
        </w:rPr>
        <w:t>Notes and Questions</w:t>
      </w:r>
    </w:p>
    <w:p w14:paraId="7D17898F" w14:textId="77777777" w:rsidR="0070589C" w:rsidRDefault="0070589C" w:rsidP="0070589C">
      <w:pPr>
        <w:tabs>
          <w:tab w:val="left" w:pos="880"/>
        </w:tabs>
        <w:kinsoku w:val="0"/>
        <w:overflowPunct w:val="0"/>
        <w:spacing w:before="1"/>
        <w:ind w:right="792"/>
      </w:pPr>
      <w:bookmarkStart w:id="24" w:name="Page_94"/>
      <w:bookmarkEnd w:id="24"/>
    </w:p>
    <w:p w14:paraId="0B054058" w14:textId="77777777" w:rsidR="0070589C" w:rsidRDefault="0070589C" w:rsidP="0070589C">
      <w:pPr>
        <w:tabs>
          <w:tab w:val="left" w:pos="720"/>
        </w:tabs>
        <w:kinsoku w:val="0"/>
        <w:overflowPunct w:val="0"/>
        <w:ind w:right="540"/>
        <w:jc w:val="both"/>
        <w:rPr>
          <w:sz w:val="24"/>
          <w:szCs w:val="24"/>
        </w:rPr>
      </w:pPr>
      <w:r>
        <w:rPr>
          <w:sz w:val="24"/>
          <w:szCs w:val="24"/>
        </w:rPr>
        <w:tab/>
      </w:r>
      <w:r w:rsidRPr="00181D0B">
        <w:rPr>
          <w:b/>
          <w:bCs/>
          <w:sz w:val="24"/>
          <w:szCs w:val="24"/>
        </w:rPr>
        <w:t>1.  The bounds of state permitting.</w:t>
      </w:r>
      <w:r>
        <w:rPr>
          <w:sz w:val="24"/>
          <w:szCs w:val="24"/>
        </w:rPr>
        <w:t xml:space="preserve">  This note tackles the inevitable consequence of the local nature of permitting at the state level and asks students to consider the </w:t>
      </w:r>
      <w:r w:rsidRPr="00181D0B">
        <w:rPr>
          <w:i/>
          <w:iCs/>
          <w:sz w:val="24"/>
          <w:szCs w:val="24"/>
        </w:rPr>
        <w:t>geographic</w:t>
      </w:r>
      <w:r>
        <w:rPr>
          <w:sz w:val="24"/>
          <w:szCs w:val="24"/>
        </w:rPr>
        <w:t xml:space="preserve"> bounds of permitting authority, specifically the distribution of benefits and burdens in different geographic locations.  </w:t>
      </w:r>
      <w:r w:rsidRPr="00181D0B">
        <w:rPr>
          <w:sz w:val="24"/>
          <w:szCs w:val="24"/>
        </w:rPr>
        <w:t xml:space="preserve">The trial court based its ruling on the Michigan Constitution and the Michigan Clean Air Act. </w:t>
      </w:r>
      <w:r>
        <w:rPr>
          <w:sz w:val="24"/>
          <w:szCs w:val="24"/>
        </w:rPr>
        <w:t xml:space="preserve"> </w:t>
      </w:r>
      <w:r w:rsidRPr="00181D0B">
        <w:rPr>
          <w:sz w:val="24"/>
          <w:szCs w:val="24"/>
        </w:rPr>
        <w:t xml:space="preserve">On their face, neither appears to encompass consideration of the distribution of economic benefits from a proposed plant. </w:t>
      </w:r>
      <w:r>
        <w:rPr>
          <w:sz w:val="24"/>
          <w:szCs w:val="24"/>
        </w:rPr>
        <w:t xml:space="preserve"> </w:t>
      </w:r>
      <w:r w:rsidRPr="00181D0B">
        <w:rPr>
          <w:sz w:val="24"/>
          <w:szCs w:val="24"/>
        </w:rPr>
        <w:t xml:space="preserve">(Some students have argued that the economic status of community residents impacts their ability to seek health care, and </w:t>
      </w:r>
      <w:r w:rsidRPr="00181D0B">
        <w:rPr>
          <w:spacing w:val="-6"/>
          <w:sz w:val="24"/>
          <w:szCs w:val="24"/>
        </w:rPr>
        <w:t xml:space="preserve">that </w:t>
      </w:r>
      <w:r w:rsidRPr="00181D0B">
        <w:rPr>
          <w:sz w:val="24"/>
          <w:szCs w:val="24"/>
        </w:rPr>
        <w:t xml:space="preserve">the lack of jobs therefore is relevant to a determination of whether the proposed plant protects public health and welfare.) As noted </w:t>
      </w:r>
      <w:r>
        <w:rPr>
          <w:sz w:val="24"/>
          <w:szCs w:val="24"/>
        </w:rPr>
        <w:t>previously,</w:t>
      </w:r>
      <w:r w:rsidRPr="00181D0B">
        <w:rPr>
          <w:sz w:val="24"/>
          <w:szCs w:val="24"/>
        </w:rPr>
        <w:t xml:space="preserve"> </w:t>
      </w:r>
      <w:r>
        <w:rPr>
          <w:sz w:val="24"/>
          <w:szCs w:val="24"/>
        </w:rPr>
        <w:t xml:space="preserve">the </w:t>
      </w:r>
      <w:r w:rsidRPr="00181D0B">
        <w:rPr>
          <w:sz w:val="24"/>
          <w:szCs w:val="24"/>
        </w:rPr>
        <w:t xml:space="preserve">Environmental Appeals Board has ruled that economic impacts of a proposed permit cannot be considered by EPA </w:t>
      </w:r>
      <w:r>
        <w:rPr>
          <w:sz w:val="24"/>
          <w:szCs w:val="24"/>
        </w:rPr>
        <w:t>when</w:t>
      </w:r>
      <w:r w:rsidRPr="00181D0B">
        <w:rPr>
          <w:sz w:val="24"/>
          <w:szCs w:val="24"/>
        </w:rPr>
        <w:t xml:space="preserve"> deciding whether to grant a RCRA</w:t>
      </w:r>
      <w:r w:rsidRPr="00181D0B">
        <w:rPr>
          <w:spacing w:val="-16"/>
          <w:sz w:val="24"/>
          <w:szCs w:val="24"/>
        </w:rPr>
        <w:t xml:space="preserve"> </w:t>
      </w:r>
      <w:r w:rsidRPr="00181D0B">
        <w:rPr>
          <w:sz w:val="24"/>
          <w:szCs w:val="24"/>
        </w:rPr>
        <w:t>permit.</w:t>
      </w:r>
    </w:p>
    <w:p w14:paraId="63821A27" w14:textId="77777777" w:rsidR="0070589C" w:rsidRDefault="0070589C" w:rsidP="0070589C">
      <w:pPr>
        <w:tabs>
          <w:tab w:val="left" w:pos="720"/>
        </w:tabs>
        <w:kinsoku w:val="0"/>
        <w:overflowPunct w:val="0"/>
        <w:ind w:right="540"/>
        <w:jc w:val="both"/>
        <w:rPr>
          <w:sz w:val="24"/>
          <w:szCs w:val="24"/>
        </w:rPr>
      </w:pPr>
      <w:r>
        <w:rPr>
          <w:sz w:val="24"/>
          <w:szCs w:val="24"/>
        </w:rPr>
        <w:tab/>
      </w:r>
    </w:p>
    <w:p w14:paraId="11322E20" w14:textId="77777777" w:rsidR="0070589C" w:rsidRPr="009228D3" w:rsidRDefault="0070589C" w:rsidP="0070589C">
      <w:pPr>
        <w:tabs>
          <w:tab w:val="left" w:pos="720"/>
        </w:tabs>
        <w:kinsoku w:val="0"/>
        <w:overflowPunct w:val="0"/>
        <w:ind w:right="540"/>
        <w:jc w:val="both"/>
        <w:rPr>
          <w:sz w:val="24"/>
          <w:szCs w:val="24"/>
        </w:rPr>
      </w:pPr>
      <w:r>
        <w:rPr>
          <w:sz w:val="24"/>
          <w:szCs w:val="24"/>
        </w:rPr>
        <w:tab/>
      </w:r>
      <w:r w:rsidRPr="00323480">
        <w:rPr>
          <w:b/>
          <w:bCs/>
          <w:sz w:val="24"/>
          <w:szCs w:val="24"/>
        </w:rPr>
        <w:t>2.  Postscript.</w:t>
      </w:r>
      <w:r>
        <w:rPr>
          <w:sz w:val="24"/>
          <w:szCs w:val="24"/>
        </w:rPr>
        <w:t xml:space="preserve">  This note may welcome student discussion of the precedent established by </w:t>
      </w:r>
      <w:r w:rsidRPr="00323480">
        <w:rPr>
          <w:i/>
          <w:iCs/>
          <w:sz w:val="24"/>
          <w:szCs w:val="24"/>
        </w:rPr>
        <w:t>NAACP–Flint Chapter v. Engel</w:t>
      </w:r>
      <w:r>
        <w:rPr>
          <w:sz w:val="24"/>
          <w:szCs w:val="24"/>
        </w:rPr>
        <w:t xml:space="preserve">, even though the court of appeals ultimately reversed the relief granted by the trial court to plaintiffs, which was not raised at trial.  </w:t>
      </w:r>
    </w:p>
    <w:p w14:paraId="4D2040F0" w14:textId="77777777" w:rsidR="0070589C" w:rsidRDefault="0070589C" w:rsidP="0070589C">
      <w:pPr>
        <w:pStyle w:val="BodyText"/>
        <w:tabs>
          <w:tab w:val="left" w:pos="720"/>
        </w:tabs>
        <w:kinsoku w:val="0"/>
        <w:overflowPunct w:val="0"/>
        <w:spacing w:before="1"/>
        <w:ind w:right="540" w:firstLine="720"/>
        <w:jc w:val="both"/>
      </w:pPr>
    </w:p>
    <w:p w14:paraId="696823AE" w14:textId="77777777" w:rsidR="0070589C" w:rsidRDefault="0070589C" w:rsidP="0070589C">
      <w:pPr>
        <w:pStyle w:val="BodyText"/>
        <w:tabs>
          <w:tab w:val="left" w:pos="720"/>
        </w:tabs>
        <w:kinsoku w:val="0"/>
        <w:overflowPunct w:val="0"/>
        <w:spacing w:before="1"/>
        <w:ind w:right="540" w:firstLine="720"/>
        <w:jc w:val="both"/>
        <w:rPr>
          <w:bCs/>
        </w:rPr>
      </w:pPr>
      <w:r>
        <w:t xml:space="preserve">The next case, </w:t>
      </w:r>
      <w:r w:rsidRPr="00E7198D">
        <w:rPr>
          <w:b/>
          <w:i/>
          <w:iCs/>
        </w:rPr>
        <w:t>Colonias Development Council v. Rhino Environmental Services Inc.</w:t>
      </w:r>
      <w:r>
        <w:rPr>
          <w:b/>
          <w:i/>
          <w:iCs/>
        </w:rPr>
        <w:t xml:space="preserve"> </w:t>
      </w:r>
      <w:r>
        <w:rPr>
          <w:bCs/>
        </w:rPr>
        <w:t xml:space="preserve">concerns Chaparral, which has been called New Mexico’s largest </w:t>
      </w:r>
      <w:r>
        <w:rPr>
          <w:bCs/>
          <w:i/>
          <w:iCs/>
        </w:rPr>
        <w:t>colonia</w:t>
      </w:r>
      <w:r>
        <w:rPr>
          <w:bCs/>
        </w:rPr>
        <w:t xml:space="preserve">.  Colonias Development Council (CDC) challenged the decision of the New Mexico Environment Department to permit Rhino Environmental Service’s additional landfill just a couple of miles from Chaparral, an unincorporated community that lacks infrastructure, political representation and medical facilities.  Students should note the timing of the permitting decision, its public hearing to take testimony on the grant of the permit, and the September 11 terrorist attack on the World Trade Center.  Despite the disruption caused by 9/11, more than 300 people ultimately attended the public hearing on the permit, with many offering testimony on how the proposed landfill would impact their quality of life.  </w:t>
      </w:r>
    </w:p>
    <w:p w14:paraId="5B2DCB03" w14:textId="77777777" w:rsidR="0070589C" w:rsidRDefault="0070589C" w:rsidP="0070589C">
      <w:pPr>
        <w:pStyle w:val="BodyText"/>
        <w:tabs>
          <w:tab w:val="left" w:pos="720"/>
        </w:tabs>
        <w:kinsoku w:val="0"/>
        <w:overflowPunct w:val="0"/>
        <w:spacing w:before="1"/>
        <w:ind w:firstLine="720"/>
        <w:jc w:val="both"/>
        <w:rPr>
          <w:bCs/>
        </w:rPr>
      </w:pPr>
    </w:p>
    <w:p w14:paraId="06D21526" w14:textId="77777777" w:rsidR="0070589C" w:rsidRPr="00E7198D" w:rsidRDefault="0070589C" w:rsidP="0070589C">
      <w:pPr>
        <w:pStyle w:val="BodyText"/>
        <w:tabs>
          <w:tab w:val="left" w:pos="720"/>
        </w:tabs>
        <w:kinsoku w:val="0"/>
        <w:overflowPunct w:val="0"/>
        <w:spacing w:before="1"/>
        <w:ind w:right="540" w:firstLine="720"/>
        <w:jc w:val="both"/>
        <w:rPr>
          <w:bCs/>
        </w:rPr>
      </w:pPr>
      <w:r>
        <w:rPr>
          <w:bCs/>
        </w:rPr>
        <w:t xml:space="preserve">The Court of Appeals agreed with the trial court that the Environment Department was not allowed to consider such testimony, and only testimony related to technical siting criteria.  The New Mexico Supreme Court accepted certiorari and reversed.  Students should pay special attention to three distinct aspects of this case: first, how the Supreme Court referred to this testimony (“social impact,” “sociological concerns,” “social well-being,” and “environmental justice”); second, the Supreme Court’s identification of how regulations with the goal of protecting the “public health, safety and welfare” is a general expression of legislative police power (which may add to the students’ understanding of state authority, compared to federal authority); and third, the Supreme Court’s consideration of cumulative impacts, or here, the “proliferation” of landfills, and the relevancy to the permitting process.        </w:t>
      </w:r>
    </w:p>
    <w:p w14:paraId="44820B3A" w14:textId="77777777" w:rsidR="0070589C" w:rsidRDefault="0070589C" w:rsidP="0070589C">
      <w:pPr>
        <w:pStyle w:val="BodyText"/>
        <w:kinsoku w:val="0"/>
        <w:overflowPunct w:val="0"/>
        <w:spacing w:before="1"/>
        <w:ind w:right="139"/>
        <w:rPr>
          <w:i/>
          <w:iCs/>
        </w:rPr>
      </w:pPr>
    </w:p>
    <w:p w14:paraId="4BF5814B" w14:textId="77777777" w:rsidR="0070589C" w:rsidRDefault="0070589C" w:rsidP="0070589C">
      <w:pPr>
        <w:pStyle w:val="BodyText"/>
        <w:jc w:val="center"/>
        <w:rPr>
          <w:bCs/>
        </w:rPr>
      </w:pPr>
      <w:r w:rsidRPr="005C03F3">
        <w:rPr>
          <w:b/>
          <w:i/>
          <w:iCs/>
          <w:sz w:val="28"/>
          <w:szCs w:val="28"/>
        </w:rPr>
        <w:t>Notes and Questions</w:t>
      </w:r>
    </w:p>
    <w:p w14:paraId="246DF031" w14:textId="77777777" w:rsidR="0070589C" w:rsidRDefault="0070589C" w:rsidP="0070589C">
      <w:pPr>
        <w:pStyle w:val="BodyText"/>
      </w:pPr>
    </w:p>
    <w:p w14:paraId="28A44864" w14:textId="77777777" w:rsidR="0070589C" w:rsidRDefault="0070589C" w:rsidP="0070589C">
      <w:pPr>
        <w:pStyle w:val="BodyText"/>
        <w:ind w:right="540" w:firstLine="720"/>
        <w:jc w:val="both"/>
      </w:pPr>
      <w:r w:rsidRPr="006155E2">
        <w:rPr>
          <w:b/>
          <w:bCs/>
        </w:rPr>
        <w:t xml:space="preserve">1.  The meaning of </w:t>
      </w:r>
      <w:r w:rsidRPr="006155E2">
        <w:rPr>
          <w:b/>
          <w:bCs/>
          <w:i/>
          <w:iCs/>
        </w:rPr>
        <w:t>Rhino</w:t>
      </w:r>
      <w:r w:rsidRPr="006155E2">
        <w:rPr>
          <w:b/>
          <w:bCs/>
        </w:rPr>
        <w:t>.</w:t>
      </w:r>
      <w:r>
        <w:rPr>
          <w:b/>
          <w:bCs/>
        </w:rPr>
        <w:t xml:space="preserve">  </w:t>
      </w:r>
      <w:r>
        <w:t xml:space="preserve">As this note summarizes, this case sets a new precedent for the State of New Mexico, and also, a model for other states to follow in considering such </w:t>
      </w:r>
      <w:r>
        <w:lastRenderedPageBreak/>
        <w:t>“environmental justice” testimony or evidence in permitting.  Students could also consider how community organizing played a role in this holding.</w:t>
      </w:r>
    </w:p>
    <w:p w14:paraId="4179EDD5" w14:textId="77777777" w:rsidR="0070589C" w:rsidRDefault="0070589C" w:rsidP="0070589C">
      <w:pPr>
        <w:pStyle w:val="BodyText"/>
        <w:ind w:firstLine="720"/>
        <w:jc w:val="both"/>
      </w:pPr>
    </w:p>
    <w:p w14:paraId="7DA5E57C" w14:textId="77777777" w:rsidR="0070589C" w:rsidRDefault="0070589C" w:rsidP="0070589C">
      <w:pPr>
        <w:pStyle w:val="BodyText"/>
        <w:ind w:right="540" w:firstLine="720"/>
        <w:jc w:val="both"/>
      </w:pPr>
      <w:r w:rsidRPr="006155E2">
        <w:rPr>
          <w:b/>
          <w:bCs/>
        </w:rPr>
        <w:t xml:space="preserve">2.  Codification of </w:t>
      </w:r>
      <w:r w:rsidRPr="006155E2">
        <w:rPr>
          <w:b/>
          <w:bCs/>
          <w:i/>
          <w:iCs/>
        </w:rPr>
        <w:t>Rhino</w:t>
      </w:r>
      <w:r w:rsidRPr="006155E2">
        <w:rPr>
          <w:b/>
          <w:bCs/>
        </w:rPr>
        <w:t>.</w:t>
      </w:r>
      <w:r>
        <w:rPr>
          <w:b/>
          <w:bCs/>
        </w:rPr>
        <w:t xml:space="preserve">  </w:t>
      </w:r>
      <w:r>
        <w:t xml:space="preserve">This note is self-explanatory, and could spur a discussion of how a successful campaign focused on permitting a single facility could lead to broader regulatory reform to advance environmental justice.  </w:t>
      </w:r>
    </w:p>
    <w:p w14:paraId="6061AF78" w14:textId="77777777" w:rsidR="0070589C" w:rsidRDefault="0070589C" w:rsidP="0070589C">
      <w:pPr>
        <w:pStyle w:val="BodyText"/>
        <w:ind w:firstLine="720"/>
        <w:jc w:val="both"/>
      </w:pPr>
    </w:p>
    <w:p w14:paraId="1E957E50" w14:textId="77777777" w:rsidR="0070589C" w:rsidRPr="006155E2" w:rsidRDefault="0070589C" w:rsidP="0070589C">
      <w:pPr>
        <w:pStyle w:val="BodyText"/>
        <w:ind w:right="540" w:firstLine="720"/>
        <w:jc w:val="both"/>
        <w:rPr>
          <w:b/>
          <w:bCs/>
        </w:rPr>
      </w:pPr>
      <w:r w:rsidRPr="006155E2">
        <w:rPr>
          <w:b/>
          <w:bCs/>
        </w:rPr>
        <w:t>3.  The benefits and burdens test.</w:t>
      </w:r>
      <w:r>
        <w:t xml:space="preserve">  This note details </w:t>
      </w:r>
      <w:r>
        <w:rPr>
          <w:i/>
          <w:iCs/>
        </w:rPr>
        <w:t>Eagle Envtl. II, L.P. v. Commonwealth Dept. of Envtl. Protection</w:t>
      </w:r>
      <w:r>
        <w:t xml:space="preserve">, a Pennsylvania Supreme Court decision that established a benefits/burdens balancing test as part of the environmental justice criteria to consider in permitting certain facilities.  Students should be prepared to compare the efficacy of this test with an impact assessment approach (and even “social impacts” such as those used in </w:t>
      </w:r>
      <w:r w:rsidRPr="00FB2A02">
        <w:rPr>
          <w:i/>
          <w:iCs/>
        </w:rPr>
        <w:t>Rhino</w:t>
      </w:r>
      <w:r>
        <w:t>).</w:t>
      </w:r>
      <w:r w:rsidRPr="006155E2">
        <w:rPr>
          <w:b/>
          <w:bCs/>
        </w:rPr>
        <w:t xml:space="preserve">    </w:t>
      </w:r>
    </w:p>
    <w:p w14:paraId="681B963B" w14:textId="77777777" w:rsidR="0070589C" w:rsidRDefault="0070589C" w:rsidP="0070589C">
      <w:pPr>
        <w:pStyle w:val="BodyText"/>
        <w:jc w:val="both"/>
        <w:rPr>
          <w:b/>
          <w:bCs/>
        </w:rPr>
      </w:pPr>
    </w:p>
    <w:p w14:paraId="055F471B" w14:textId="77777777" w:rsidR="0070589C" w:rsidRDefault="0070589C" w:rsidP="0070589C">
      <w:pPr>
        <w:pStyle w:val="BodyText"/>
        <w:ind w:right="540"/>
        <w:jc w:val="both"/>
        <w:rPr>
          <w:i/>
          <w:iCs/>
        </w:rPr>
      </w:pPr>
      <w:r>
        <w:rPr>
          <w:b/>
          <w:bCs/>
        </w:rPr>
        <w:tab/>
        <w:t xml:space="preserve">4.  Comparing the states.  </w:t>
      </w:r>
      <w:r>
        <w:t xml:space="preserve">As an extension of the hypothetical permitting regime that students have designed, students could also design a state permitting scheme based on the </w:t>
      </w:r>
      <w:r w:rsidRPr="00FB2A02">
        <w:t xml:space="preserve">examples included in this note and those employed in </w:t>
      </w:r>
      <w:r w:rsidRPr="00FB2A02">
        <w:rPr>
          <w:i/>
          <w:iCs/>
        </w:rPr>
        <w:t xml:space="preserve">Colonias Development Council </w:t>
      </w:r>
      <w:r w:rsidRPr="00FB2A02">
        <w:t>and</w:t>
      </w:r>
      <w:r w:rsidRPr="00FB2A02">
        <w:rPr>
          <w:i/>
          <w:iCs/>
        </w:rPr>
        <w:t xml:space="preserve"> Rhino.</w:t>
      </w:r>
    </w:p>
    <w:p w14:paraId="333778FA" w14:textId="77777777" w:rsidR="0070589C" w:rsidRDefault="0070589C" w:rsidP="0070589C">
      <w:pPr>
        <w:pStyle w:val="BodyText"/>
        <w:jc w:val="both"/>
        <w:rPr>
          <w:i/>
          <w:iCs/>
        </w:rPr>
      </w:pPr>
    </w:p>
    <w:p w14:paraId="7228E210" w14:textId="77777777" w:rsidR="0070589C" w:rsidRDefault="0070589C" w:rsidP="0070589C">
      <w:pPr>
        <w:pStyle w:val="BodyText"/>
        <w:ind w:right="540"/>
        <w:jc w:val="both"/>
      </w:pPr>
      <w:r>
        <w:rPr>
          <w:i/>
          <w:iCs/>
        </w:rPr>
        <w:tab/>
      </w:r>
      <w:r w:rsidRPr="00FB2A02">
        <w:rPr>
          <w:b/>
          <w:bCs/>
        </w:rPr>
        <w:t>5.  Informed decision-making.</w:t>
      </w:r>
      <w:r>
        <w:rPr>
          <w:b/>
          <w:bCs/>
        </w:rPr>
        <w:t xml:space="preserve">  </w:t>
      </w:r>
      <w:r>
        <w:t xml:space="preserve">Students may benefit from reading the case covered in this note together with Chapter 12, Information Disclosure and Environmental Review.  The “more polluting crude oil feedstock” at question included tar sands.  Some Richmond residents protesting the permitting of the refinery expansion held banners reading, “Chevron Lied,” adding to a fact pattern suitable for the hypothetical exercise in note 7, below.    </w:t>
      </w:r>
    </w:p>
    <w:p w14:paraId="25757873" w14:textId="77777777" w:rsidR="0070589C" w:rsidRDefault="0070589C" w:rsidP="0070589C">
      <w:pPr>
        <w:pStyle w:val="BodyText"/>
        <w:jc w:val="both"/>
      </w:pPr>
    </w:p>
    <w:p w14:paraId="269A9857" w14:textId="77777777" w:rsidR="0070589C" w:rsidRPr="001A7E38" w:rsidRDefault="0070589C" w:rsidP="0070589C">
      <w:pPr>
        <w:pStyle w:val="BodyText"/>
        <w:ind w:right="540" w:firstLine="720"/>
        <w:jc w:val="both"/>
      </w:pPr>
      <w:r w:rsidRPr="001A7E38">
        <w:rPr>
          <w:b/>
          <w:bCs/>
        </w:rPr>
        <w:t>6.  Remedies.</w:t>
      </w:r>
      <w:r>
        <w:rPr>
          <w:b/>
          <w:bCs/>
        </w:rPr>
        <w:t xml:space="preserve">  </w:t>
      </w:r>
      <w:r>
        <w:t xml:space="preserve">This note ultimately asks the student to consider the law versus justice, including the limits of what the law can achieve.  In discussing procedural, distributive or other forms of justice, students could consider the actual remedy sought by those opposing a particular facility or permit.  Certainly, opposition is rarely premised on the need for an adequate analysis of impacts.  Surely residents already know the impact of an additional cumulative source of pollution in their communities, albeit in “social” terms?  </w:t>
      </w:r>
    </w:p>
    <w:p w14:paraId="13D2FCCD" w14:textId="77777777" w:rsidR="0070589C" w:rsidRDefault="0070589C" w:rsidP="0070589C">
      <w:pPr>
        <w:pStyle w:val="BodyText"/>
        <w:jc w:val="both"/>
        <w:rPr>
          <w:b/>
          <w:bCs/>
        </w:rPr>
      </w:pPr>
    </w:p>
    <w:p w14:paraId="20390AFC" w14:textId="77777777" w:rsidR="0070589C" w:rsidRPr="009B5BBD" w:rsidRDefault="0070589C" w:rsidP="0070589C">
      <w:pPr>
        <w:pStyle w:val="BodyText"/>
        <w:ind w:right="540" w:firstLine="720"/>
        <w:jc w:val="both"/>
        <w:rPr>
          <w:sz w:val="28"/>
          <w:szCs w:val="28"/>
        </w:rPr>
      </w:pPr>
      <w:r w:rsidRPr="009B5BBD">
        <w:rPr>
          <w:b/>
          <w:bCs/>
        </w:rPr>
        <w:t>7.  The permit applicant’s perspective.</w:t>
      </w:r>
      <w:r>
        <w:rPr>
          <w:b/>
          <w:bCs/>
        </w:rPr>
        <w:t xml:space="preserve">  </w:t>
      </w:r>
      <w:r>
        <w:t xml:space="preserve">This note is self-explanatory but could also cue another role-play for students to elicit best practices.  Students could assume the roles of the regulator, the developer, and the environmental justice advocate in a negotiation over a particular permit.  The </w:t>
      </w:r>
      <w:r w:rsidRPr="00801329">
        <w:rPr>
          <w:i/>
          <w:iCs/>
        </w:rPr>
        <w:t>C</w:t>
      </w:r>
      <w:r>
        <w:rPr>
          <w:i/>
          <w:iCs/>
        </w:rPr>
        <w:t xml:space="preserve">ommunities for a </w:t>
      </w:r>
      <w:r w:rsidRPr="00801329">
        <w:rPr>
          <w:i/>
          <w:iCs/>
        </w:rPr>
        <w:t>B</w:t>
      </w:r>
      <w:r>
        <w:rPr>
          <w:i/>
          <w:iCs/>
        </w:rPr>
        <w:t xml:space="preserve">etter </w:t>
      </w:r>
      <w:r w:rsidRPr="00801329">
        <w:rPr>
          <w:i/>
          <w:iCs/>
        </w:rPr>
        <w:t>E</w:t>
      </w:r>
      <w:r>
        <w:rPr>
          <w:i/>
          <w:iCs/>
        </w:rPr>
        <w:t>nvironment</w:t>
      </w:r>
      <w:r w:rsidRPr="00801329">
        <w:rPr>
          <w:i/>
          <w:iCs/>
        </w:rPr>
        <w:t xml:space="preserve"> v. City of Richmond</w:t>
      </w:r>
      <w:r>
        <w:rPr>
          <w:i/>
          <w:iCs/>
        </w:rPr>
        <w:t xml:space="preserve"> et al.</w:t>
      </w:r>
      <w:r>
        <w:t xml:space="preserve"> case, discussed in the note above, could provide an interesting factual background, especially pre-filing of the successful lawsuit, from which to base this role-play.    </w:t>
      </w:r>
    </w:p>
    <w:p w14:paraId="4767161A" w14:textId="77777777" w:rsidR="0070589C" w:rsidRDefault="0070589C" w:rsidP="0070589C">
      <w:pPr>
        <w:pStyle w:val="BodyText"/>
        <w:jc w:val="center"/>
        <w:rPr>
          <w:bCs/>
          <w:sz w:val="28"/>
          <w:szCs w:val="28"/>
        </w:rPr>
      </w:pPr>
    </w:p>
    <w:p w14:paraId="58C7B1E5" w14:textId="77777777" w:rsidR="0070589C" w:rsidRDefault="0070589C" w:rsidP="0070589C">
      <w:pPr>
        <w:pStyle w:val="BodyText"/>
        <w:jc w:val="center"/>
        <w:rPr>
          <w:bCs/>
          <w:sz w:val="28"/>
          <w:szCs w:val="28"/>
        </w:rPr>
      </w:pPr>
    </w:p>
    <w:p w14:paraId="00007EDA" w14:textId="77777777" w:rsidR="0070589C" w:rsidRDefault="0070589C" w:rsidP="0070589C">
      <w:pPr>
        <w:pStyle w:val="BodyText"/>
        <w:jc w:val="center"/>
        <w:rPr>
          <w:bCs/>
          <w:sz w:val="28"/>
          <w:szCs w:val="28"/>
        </w:rPr>
      </w:pPr>
    </w:p>
    <w:p w14:paraId="2E0F30D0" w14:textId="77777777" w:rsidR="0070589C" w:rsidRDefault="0070589C" w:rsidP="0070589C">
      <w:pPr>
        <w:pStyle w:val="BodyText"/>
        <w:jc w:val="center"/>
        <w:rPr>
          <w:bCs/>
          <w:sz w:val="28"/>
          <w:szCs w:val="28"/>
        </w:rPr>
      </w:pPr>
    </w:p>
    <w:p w14:paraId="17D05736" w14:textId="77777777" w:rsidR="0070589C" w:rsidRDefault="0070589C" w:rsidP="0070589C">
      <w:pPr>
        <w:pStyle w:val="BodyText"/>
        <w:jc w:val="center"/>
        <w:rPr>
          <w:bCs/>
          <w:sz w:val="28"/>
          <w:szCs w:val="28"/>
        </w:rPr>
      </w:pPr>
    </w:p>
    <w:p w14:paraId="2EAE63FF" w14:textId="77777777" w:rsidR="0070589C" w:rsidRDefault="0070589C" w:rsidP="0070589C">
      <w:pPr>
        <w:widowControl/>
        <w:autoSpaceDE/>
        <w:autoSpaceDN/>
        <w:adjustRightInd/>
        <w:spacing w:after="160" w:line="259" w:lineRule="auto"/>
      </w:pPr>
    </w:p>
    <w:p w14:paraId="733EFC02" w14:textId="77777777" w:rsidR="0070589C" w:rsidRDefault="0070589C" w:rsidP="0070589C">
      <w:pPr>
        <w:pStyle w:val="BodyText"/>
        <w:jc w:val="center"/>
        <w:rPr>
          <w:bCs/>
          <w:sz w:val="28"/>
          <w:szCs w:val="28"/>
        </w:rPr>
      </w:pPr>
    </w:p>
    <w:p w14:paraId="5256D8C7" w14:textId="77777777" w:rsidR="0070589C" w:rsidRPr="00733FF8" w:rsidRDefault="0070589C" w:rsidP="0070589C">
      <w:pPr>
        <w:pStyle w:val="Heading1"/>
        <w:kinsoku w:val="0"/>
        <w:overflowPunct w:val="0"/>
        <w:spacing w:before="58"/>
        <w:ind w:left="0"/>
        <w:rPr>
          <w:sz w:val="32"/>
          <w:szCs w:val="32"/>
        </w:rPr>
      </w:pPr>
      <w:r w:rsidRPr="00733FF8">
        <w:rPr>
          <w:sz w:val="32"/>
          <w:szCs w:val="32"/>
        </w:rPr>
        <w:lastRenderedPageBreak/>
        <w:t xml:space="preserve">Chapter </w:t>
      </w:r>
      <w:r>
        <w:rPr>
          <w:sz w:val="32"/>
          <w:szCs w:val="32"/>
        </w:rPr>
        <w:t>7</w:t>
      </w:r>
    </w:p>
    <w:p w14:paraId="68C73477" w14:textId="77777777" w:rsidR="0070589C" w:rsidRPr="00733FF8" w:rsidRDefault="0070589C" w:rsidP="0070589C">
      <w:pPr>
        <w:rPr>
          <w:b/>
          <w:sz w:val="32"/>
          <w:szCs w:val="32"/>
        </w:rPr>
      </w:pPr>
    </w:p>
    <w:p w14:paraId="3D34A1D5" w14:textId="77777777" w:rsidR="0070589C" w:rsidRPr="00733FF8" w:rsidRDefault="0070589C" w:rsidP="0070589C">
      <w:pPr>
        <w:rPr>
          <w:b/>
          <w:sz w:val="32"/>
          <w:szCs w:val="32"/>
        </w:rPr>
      </w:pPr>
      <w:r>
        <w:rPr>
          <w:b/>
          <w:sz w:val="32"/>
          <w:szCs w:val="32"/>
        </w:rPr>
        <w:t>Public Enforcement</w:t>
      </w:r>
    </w:p>
    <w:p w14:paraId="273131BC" w14:textId="77777777" w:rsidR="0070589C" w:rsidRDefault="0070589C" w:rsidP="0070589C">
      <w:pPr>
        <w:pStyle w:val="BodyText"/>
        <w:kinsoku w:val="0"/>
        <w:overflowPunct w:val="0"/>
        <w:rPr>
          <w:b/>
          <w:bCs/>
        </w:rPr>
      </w:pPr>
    </w:p>
    <w:p w14:paraId="254DCC78" w14:textId="77777777" w:rsidR="0070589C" w:rsidRPr="00247DBD" w:rsidRDefault="0070589C" w:rsidP="00307558">
      <w:pPr>
        <w:pStyle w:val="BodyText"/>
        <w:numPr>
          <w:ilvl w:val="0"/>
          <w:numId w:val="33"/>
        </w:numPr>
        <w:kinsoku w:val="0"/>
        <w:overflowPunct w:val="0"/>
        <w:ind w:right="897"/>
        <w:rPr>
          <w:b/>
        </w:rPr>
      </w:pPr>
      <w:r>
        <w:rPr>
          <w:b/>
        </w:rPr>
        <w:t xml:space="preserve"> Introduction</w:t>
      </w:r>
    </w:p>
    <w:p w14:paraId="34A9E2E6" w14:textId="77777777" w:rsidR="0070589C" w:rsidRDefault="0070589C" w:rsidP="0070589C">
      <w:pPr>
        <w:pStyle w:val="BodyText"/>
        <w:kinsoku w:val="0"/>
        <w:overflowPunct w:val="0"/>
        <w:ind w:right="897"/>
        <w:jc w:val="both"/>
      </w:pPr>
    </w:p>
    <w:p w14:paraId="75AE4A3D" w14:textId="1FEF733B" w:rsidR="00C836A4" w:rsidRDefault="0070589C" w:rsidP="0070589C">
      <w:pPr>
        <w:pStyle w:val="BodyText"/>
        <w:kinsoku w:val="0"/>
        <w:overflowPunct w:val="0"/>
        <w:ind w:right="540" w:firstLine="720"/>
        <w:jc w:val="both"/>
      </w:pPr>
      <w:r>
        <w:t xml:space="preserve">The chapter begins with narrative of a </w:t>
      </w:r>
      <w:r w:rsidR="00312716">
        <w:t xml:space="preserve">major </w:t>
      </w:r>
      <w:r w:rsidR="00DF2F94">
        <w:t xml:space="preserve">train derailment </w:t>
      </w:r>
      <w:r w:rsidR="005D05BA">
        <w:t xml:space="preserve">in </w:t>
      </w:r>
      <w:r w:rsidR="00912A07">
        <w:t>February 2023.  Students may recall seeing video</w:t>
      </w:r>
      <w:r w:rsidR="00DF2F94">
        <w:t>s</w:t>
      </w:r>
      <w:r w:rsidR="00912A07">
        <w:t xml:space="preserve"> of </w:t>
      </w:r>
      <w:r w:rsidR="00E1430D">
        <w:t xml:space="preserve">the flaming railroad cars </w:t>
      </w:r>
      <w:r w:rsidR="00DF2F94">
        <w:t>and</w:t>
      </w:r>
      <w:r w:rsidR="00AC59A2">
        <w:t xml:space="preserve"> massive </w:t>
      </w:r>
      <w:r w:rsidR="00DF2F94">
        <w:t xml:space="preserve">plume of toxic smoke </w:t>
      </w:r>
      <w:r w:rsidR="00D836E5">
        <w:t>drifting o</w:t>
      </w:r>
      <w:r w:rsidR="00AC59A2">
        <w:t xml:space="preserve">ver </w:t>
      </w:r>
      <w:r w:rsidR="00BE0066">
        <w:t>southern Ohio and western Pennsylvania</w:t>
      </w:r>
      <w:r w:rsidR="00AC59A2">
        <w:t xml:space="preserve">. </w:t>
      </w:r>
      <w:r w:rsidR="009072F0">
        <w:t xml:space="preserve">The impacted </w:t>
      </w:r>
      <w:r w:rsidR="004C672B">
        <w:t xml:space="preserve">residents of this largely white, rural area </w:t>
      </w:r>
      <w:r w:rsidR="008147CE">
        <w:t>were not what many</w:t>
      </w:r>
      <w:r w:rsidR="008F5208">
        <w:t xml:space="preserve"> would associate with “EJ communities.”  </w:t>
      </w:r>
      <w:r w:rsidR="005749B5">
        <w:t xml:space="preserve">And yet, </w:t>
      </w:r>
      <w:r w:rsidR="00A445BF">
        <w:t xml:space="preserve">taking seriously the </w:t>
      </w:r>
      <w:r w:rsidR="001B3491">
        <w:t xml:space="preserve">EJ </w:t>
      </w:r>
      <w:r w:rsidR="00A445BF">
        <w:t xml:space="preserve">command for fair treatment </w:t>
      </w:r>
      <w:r w:rsidR="008C246E">
        <w:t>and meaningful involvement for “all people</w:t>
      </w:r>
      <w:r w:rsidR="00620591">
        <w:t xml:space="preserve">,” the East Palestine train derailment </w:t>
      </w:r>
      <w:r w:rsidR="00F378D0">
        <w:t xml:space="preserve">demanded extraordinary attention from government at all levels.  </w:t>
      </w:r>
      <w:r w:rsidR="00ED0BC3">
        <w:t xml:space="preserve">The government response also demonstrated many of the tools for environmental enforcement </w:t>
      </w:r>
      <w:r w:rsidR="00926253">
        <w:t xml:space="preserve">that can help address EJ concerns in many other communities.  </w:t>
      </w:r>
      <w:r w:rsidR="006554C0">
        <w:t xml:space="preserve">In this opening narrative, we see, for example, administrative </w:t>
      </w:r>
      <w:r w:rsidR="001D7DE0">
        <w:t xml:space="preserve">enforcement in the form of EPA orders under CERCLA and the Clean Water Act.  We also see civil litigation resulting in a consent decree </w:t>
      </w:r>
      <w:r w:rsidR="005B4857">
        <w:t xml:space="preserve">that included </w:t>
      </w:r>
      <w:r w:rsidR="00CD76B0">
        <w:t xml:space="preserve">both injunctive relief and mitigation.  </w:t>
      </w:r>
      <w:r w:rsidR="007F3313">
        <w:t>Through this</w:t>
      </w:r>
      <w:r w:rsidR="00040F04">
        <w:t xml:space="preserve"> opening</w:t>
      </w:r>
      <w:r w:rsidR="007F3313">
        <w:t xml:space="preserve"> case study, instructors might ask students to identify elements of distributive, procedural, corrective, and social justice.  </w:t>
      </w:r>
      <w:r w:rsidR="000006FD">
        <w:t>(The provision for mental health services</w:t>
      </w:r>
      <w:r w:rsidR="00F82048">
        <w:t>, for example,</w:t>
      </w:r>
      <w:r w:rsidR="000006FD">
        <w:t xml:space="preserve"> </w:t>
      </w:r>
      <w:r w:rsidR="00F82048">
        <w:t>may serve</w:t>
      </w:r>
      <w:r w:rsidR="0031753C">
        <w:t xml:space="preserve"> dimensions of</w:t>
      </w:r>
      <w:r w:rsidR="00F82048">
        <w:t xml:space="preserve"> both corrective and social justice.)</w:t>
      </w:r>
    </w:p>
    <w:p w14:paraId="0780197C" w14:textId="2E1D1B7A" w:rsidR="00BD1E34" w:rsidRDefault="00BD1E34" w:rsidP="00BD1E34">
      <w:pPr>
        <w:pStyle w:val="BodyText"/>
        <w:kinsoku w:val="0"/>
        <w:overflowPunct w:val="0"/>
        <w:ind w:right="540" w:firstLine="720"/>
        <w:jc w:val="both"/>
      </w:pPr>
      <w:r>
        <w:t xml:space="preserve">An introduction to environmental enforcement may lead naturally to the role of law enforcement in environmental justice.  To many, “law enforcement” conjures images of uniformed police officers with guns and badges – authority figures seemingly adverse to community activists. Largely overlooked in many texts is the substantial power for environmental enforcement – that is, enforcement of environmental statutes such as the Clean Air Act and the Safe Drinking Water Act – to contribute to the pursuit of environmental justice.  </w:t>
      </w:r>
    </w:p>
    <w:p w14:paraId="1C475112" w14:textId="6BAD29DB" w:rsidR="00BD1E34" w:rsidRDefault="00BD1E34" w:rsidP="0070589C">
      <w:pPr>
        <w:pStyle w:val="BodyText"/>
        <w:kinsoku w:val="0"/>
        <w:overflowPunct w:val="0"/>
        <w:ind w:right="540" w:firstLine="720"/>
        <w:jc w:val="both"/>
      </w:pPr>
      <w:r>
        <w:t xml:space="preserve">Most enforcement of pollution statutes is done by government agencies such as the EPA and other government agencies.  Hence the title of this chapter, “Government Enforcement,” emphasizes the distinction from citizen enforcement, explored later in Chapter 12.  Government enforcement traditionally does not allow much opportunity for community involvement, much less “meaningful” community involvement.  As such, community activists may not find much opportunity to influence government enforcement or even to understand how government enforcement works.  At the same time, many government enforcers may have little understanding of the principles of environmental justice.  To address knowledge gaps on both sides, this chapter explains how enforcement authorities may be used to pursue environmental justice and how government enforcers and community advocates could – and </w:t>
      </w:r>
      <w:r w:rsidRPr="00E85124">
        <w:rPr>
          <w:i/>
        </w:rPr>
        <w:t>should</w:t>
      </w:r>
      <w:r>
        <w:t xml:space="preserve"> – sometimes be natural allies.</w:t>
      </w:r>
    </w:p>
    <w:p w14:paraId="3C989B6C" w14:textId="6B995DBF" w:rsidR="00023CE7" w:rsidRDefault="00F82048" w:rsidP="0070589C">
      <w:pPr>
        <w:pStyle w:val="BodyText"/>
        <w:kinsoku w:val="0"/>
        <w:overflowPunct w:val="0"/>
        <w:ind w:right="540" w:firstLine="720"/>
        <w:jc w:val="both"/>
      </w:pPr>
      <w:r>
        <w:t xml:space="preserve">  </w:t>
      </w:r>
    </w:p>
    <w:p w14:paraId="25A5F46C" w14:textId="073AE181" w:rsidR="00023CE7" w:rsidRPr="000B150A" w:rsidRDefault="00023CE7" w:rsidP="00023CE7">
      <w:pPr>
        <w:pStyle w:val="BodyText"/>
        <w:numPr>
          <w:ilvl w:val="0"/>
          <w:numId w:val="33"/>
        </w:numPr>
        <w:kinsoku w:val="0"/>
        <w:overflowPunct w:val="0"/>
        <w:ind w:right="540"/>
        <w:jc w:val="both"/>
        <w:rPr>
          <w:b/>
          <w:bCs/>
        </w:rPr>
      </w:pPr>
      <w:r w:rsidRPr="000B150A">
        <w:rPr>
          <w:b/>
          <w:bCs/>
        </w:rPr>
        <w:t>Historical Critiques</w:t>
      </w:r>
    </w:p>
    <w:p w14:paraId="634E8FFD" w14:textId="77777777" w:rsidR="00023CE7" w:rsidRDefault="00023CE7" w:rsidP="0070589C">
      <w:pPr>
        <w:pStyle w:val="BodyText"/>
        <w:kinsoku w:val="0"/>
        <w:overflowPunct w:val="0"/>
        <w:ind w:right="540" w:firstLine="720"/>
        <w:jc w:val="both"/>
      </w:pPr>
    </w:p>
    <w:p w14:paraId="6B81CBA4" w14:textId="01B16E08" w:rsidR="0070589C" w:rsidRDefault="00C836A4" w:rsidP="0070589C">
      <w:pPr>
        <w:pStyle w:val="BodyText"/>
        <w:kinsoku w:val="0"/>
        <w:overflowPunct w:val="0"/>
        <w:ind w:right="540" w:firstLine="720"/>
        <w:jc w:val="both"/>
      </w:pPr>
      <w:r>
        <w:t>This section opens with early suggestions of discrimination in environmental enforcement</w:t>
      </w:r>
      <w:r w:rsidR="001863B0">
        <w:t xml:space="preserve">, </w:t>
      </w:r>
      <w:r w:rsidR="00A95FAB">
        <w:t xml:space="preserve">supported by </w:t>
      </w:r>
      <w:r w:rsidR="001863B0">
        <w:t>an influential article</w:t>
      </w:r>
      <w:r w:rsidR="00A95FAB">
        <w:t xml:space="preserve"> published by</w:t>
      </w:r>
      <w:r w:rsidR="001863B0">
        <w:t xml:space="preserve"> the National Law Journa</w:t>
      </w:r>
      <w:r w:rsidR="00204CCE">
        <w:t>l</w:t>
      </w:r>
      <w:r w:rsidR="00A95FAB">
        <w:t xml:space="preserve"> in 1992.</w:t>
      </w:r>
      <w:r w:rsidR="00204CCE">
        <w:t xml:space="preserve">  </w:t>
      </w:r>
      <w:r w:rsidR="00BD0DA6">
        <w:t>EJ advocates may be surprised to learn</w:t>
      </w:r>
      <w:r w:rsidR="003F6C83">
        <w:t>, however,</w:t>
      </w:r>
      <w:r w:rsidR="00BD0DA6">
        <w:t xml:space="preserve"> that these early suggestions have been largely </w:t>
      </w:r>
      <w:r w:rsidR="008E6957">
        <w:t xml:space="preserve">and repeatedly </w:t>
      </w:r>
      <w:r w:rsidR="001A758E">
        <w:t xml:space="preserve">disproven with empirical studies over </w:t>
      </w:r>
      <w:r w:rsidR="00962A1F">
        <w:t>the last 25 years</w:t>
      </w:r>
      <w:r w:rsidR="00541AD2">
        <w:t xml:space="preserve">.  </w:t>
      </w:r>
      <w:r w:rsidR="0070589C">
        <w:t xml:space="preserve">The NLJ </w:t>
      </w:r>
      <w:r w:rsidR="0070589C">
        <w:lastRenderedPageBreak/>
        <w:t xml:space="preserve">article itself </w:t>
      </w:r>
      <w:r w:rsidR="0080221E">
        <w:t xml:space="preserve">suggests </w:t>
      </w:r>
      <w:r w:rsidR="0070589C">
        <w:t xml:space="preserve">that EJ advocates may not </w:t>
      </w:r>
      <w:r w:rsidR="0029700C">
        <w:t>comprehend</w:t>
      </w:r>
      <w:r w:rsidR="0070589C">
        <w:t xml:space="preserve"> how environmental enforcement really works.  For example, by focusing on civil litigation, the NLJ article</w:t>
      </w:r>
      <w:r w:rsidR="00012AF2">
        <w:t xml:space="preserve"> entirely </w:t>
      </w:r>
      <w:r w:rsidR="0070589C">
        <w:t>overlooked administrative enforcement, which constitutes some 90</w:t>
      </w:r>
      <w:r w:rsidR="00012AF2">
        <w:t xml:space="preserve"> percent</w:t>
      </w:r>
      <w:r w:rsidR="0070589C">
        <w:t xml:space="preserve"> of all environmental enforcement.  The NLJ article also assumed that more penalties meant more community protection, overlooking other fundamental remedies, including injunctive relief.     </w:t>
      </w:r>
    </w:p>
    <w:p w14:paraId="6D6E3422" w14:textId="77777777" w:rsidR="0070589C" w:rsidRPr="00581DC5" w:rsidRDefault="0070589C" w:rsidP="0070589C">
      <w:pPr>
        <w:pStyle w:val="BodyText"/>
        <w:kinsoku w:val="0"/>
        <w:overflowPunct w:val="0"/>
        <w:ind w:right="897" w:firstLine="360"/>
        <w:jc w:val="both"/>
      </w:pPr>
    </w:p>
    <w:p w14:paraId="37D2E960" w14:textId="77777777" w:rsidR="0070589C" w:rsidRDefault="0070589C" w:rsidP="0070589C">
      <w:pPr>
        <w:pStyle w:val="BodyText"/>
        <w:kinsoku w:val="0"/>
        <w:overflowPunct w:val="0"/>
        <w:ind w:right="897"/>
        <w:jc w:val="center"/>
        <w:rPr>
          <w:b/>
          <w:i/>
          <w:sz w:val="28"/>
          <w:szCs w:val="28"/>
        </w:rPr>
      </w:pPr>
      <w:r w:rsidRPr="006201D9">
        <w:rPr>
          <w:b/>
          <w:i/>
          <w:sz w:val="28"/>
          <w:szCs w:val="28"/>
        </w:rPr>
        <w:t>Notes and Questions</w:t>
      </w:r>
    </w:p>
    <w:p w14:paraId="314FC671" w14:textId="77777777" w:rsidR="0070589C" w:rsidRDefault="0070589C" w:rsidP="0070589C">
      <w:pPr>
        <w:pStyle w:val="BodyText"/>
        <w:kinsoku w:val="0"/>
        <w:overflowPunct w:val="0"/>
        <w:ind w:right="897"/>
        <w:jc w:val="center"/>
        <w:rPr>
          <w:b/>
          <w:i/>
          <w:sz w:val="28"/>
          <w:szCs w:val="28"/>
        </w:rPr>
      </w:pPr>
    </w:p>
    <w:p w14:paraId="2977818D" w14:textId="5AA869F7" w:rsidR="008E36DA" w:rsidRDefault="0070589C" w:rsidP="0070589C">
      <w:pPr>
        <w:pStyle w:val="BodyText"/>
        <w:kinsoku w:val="0"/>
        <w:overflowPunct w:val="0"/>
        <w:ind w:right="540" w:firstLine="720"/>
        <w:jc w:val="both"/>
        <w:rPr>
          <w:b/>
        </w:rPr>
      </w:pPr>
      <w:r>
        <w:rPr>
          <w:b/>
        </w:rPr>
        <w:t xml:space="preserve">1.  </w:t>
      </w:r>
      <w:r w:rsidR="008E36DA">
        <w:rPr>
          <w:b/>
        </w:rPr>
        <w:t>The takeaway</w:t>
      </w:r>
      <w:r w:rsidR="00196F7E">
        <w:rPr>
          <w:b/>
        </w:rPr>
        <w:t>?</w:t>
      </w:r>
      <w:r w:rsidR="008E36DA">
        <w:rPr>
          <w:b/>
        </w:rPr>
        <w:t xml:space="preserve">  </w:t>
      </w:r>
      <w:r w:rsidR="004449AA" w:rsidRPr="004449AA">
        <w:rPr>
          <w:bCs/>
        </w:rPr>
        <w:t xml:space="preserve">The note here is intended to prompt students </w:t>
      </w:r>
      <w:r w:rsidR="003C044F">
        <w:rPr>
          <w:bCs/>
        </w:rPr>
        <w:t xml:space="preserve">think beyond the question of whether or not there is discrimination in environmental enforcement </w:t>
      </w:r>
      <w:r w:rsidR="0084289C">
        <w:rPr>
          <w:bCs/>
        </w:rPr>
        <w:t xml:space="preserve">to the question of whether and how environmental enforcement can help address </w:t>
      </w:r>
      <w:r w:rsidR="006B6094">
        <w:rPr>
          <w:bCs/>
        </w:rPr>
        <w:t xml:space="preserve">concerns for environmental justice.  </w:t>
      </w:r>
      <w:r w:rsidR="00BA101E">
        <w:rPr>
          <w:bCs/>
        </w:rPr>
        <w:t xml:space="preserve">Among other things, this question anticipates the discussion of enforcement “targeting” </w:t>
      </w:r>
      <w:r w:rsidR="00F76D3C">
        <w:rPr>
          <w:bCs/>
        </w:rPr>
        <w:t>near the end of the chapter.</w:t>
      </w:r>
    </w:p>
    <w:p w14:paraId="06CC713E" w14:textId="77777777" w:rsidR="008E36DA" w:rsidRDefault="008E36DA" w:rsidP="0070589C">
      <w:pPr>
        <w:pStyle w:val="BodyText"/>
        <w:kinsoku w:val="0"/>
        <w:overflowPunct w:val="0"/>
        <w:ind w:right="540" w:firstLine="720"/>
        <w:jc w:val="both"/>
        <w:rPr>
          <w:b/>
        </w:rPr>
      </w:pPr>
    </w:p>
    <w:p w14:paraId="359B505B" w14:textId="3641B90B" w:rsidR="0070589C" w:rsidRDefault="008E36DA" w:rsidP="004424BF">
      <w:pPr>
        <w:pStyle w:val="BodyText"/>
        <w:kinsoku w:val="0"/>
        <w:overflowPunct w:val="0"/>
        <w:ind w:right="540" w:firstLine="720"/>
        <w:jc w:val="both"/>
      </w:pPr>
      <w:r>
        <w:rPr>
          <w:b/>
        </w:rPr>
        <w:t>2.  Enforcement bias?</w:t>
      </w:r>
      <w:r w:rsidR="0070589C">
        <w:t xml:space="preserve">  The hypothetical </w:t>
      </w:r>
      <w:r w:rsidR="00D3455F">
        <w:t xml:space="preserve">presented in </w:t>
      </w:r>
      <w:r w:rsidR="0070589C">
        <w:t xml:space="preserve">this note illustrates </w:t>
      </w:r>
      <w:r w:rsidR="002510FF">
        <w:t xml:space="preserve">one reason to doubt the </w:t>
      </w:r>
      <w:r w:rsidR="00362809">
        <w:t xml:space="preserve">predominance of discrimination in environmental enforcement:  more likely than not, </w:t>
      </w:r>
      <w:r w:rsidR="00874F98">
        <w:t xml:space="preserve">an </w:t>
      </w:r>
      <w:r w:rsidR="009A7097">
        <w:t xml:space="preserve">enforcement </w:t>
      </w:r>
      <w:r w:rsidR="00874F98">
        <w:t xml:space="preserve">attorney </w:t>
      </w:r>
      <w:r w:rsidR="009A7097">
        <w:t>cannot discriminate</w:t>
      </w:r>
      <w:r w:rsidR="005A29EE">
        <w:t xml:space="preserve"> against a certain community</w:t>
      </w:r>
      <w:r w:rsidR="009A7097">
        <w:t xml:space="preserve"> because they have no idea </w:t>
      </w:r>
      <w:r w:rsidR="0070589C">
        <w:t>of the community’s demographics or concerns.  In this hypothetical, the EPA attorney in Chicago may receive a case file about a site in Richfield, Minnesota, and will consider whether the facts identified in the file constitute a violation of some environmental statute or regulation within EPA’s jurisdiction.  If so, the EPA attorney may do nothing (for lack of resources), prepare a Notice of Violation (essentially a warning letter), or consider issuing an administrative order or assessing an administrative penalty.  In exceptional circumstances, the attorney (with management support) may consider preparing a referral to the U.S. Department of Justice for civil litigation.  Only in the rarest of cases, involving the most egregious conduct and serious injuries, would the attorney consider referring the case for criminal investigation.</w:t>
      </w:r>
    </w:p>
    <w:p w14:paraId="2266925F" w14:textId="5FBE4712" w:rsidR="0070589C" w:rsidRDefault="0070589C" w:rsidP="0070589C">
      <w:pPr>
        <w:pStyle w:val="BodyText"/>
        <w:kinsoku w:val="0"/>
        <w:overflowPunct w:val="0"/>
        <w:ind w:right="540" w:firstLine="720"/>
        <w:jc w:val="both"/>
      </w:pPr>
      <w:r>
        <w:t>If an EPA attorney investigated the character of the community (through such desktop tools as Google Earth or EPA’s own EJS</w:t>
      </w:r>
      <w:r w:rsidR="007F6CC0">
        <w:t>CREEN</w:t>
      </w:r>
      <w:r>
        <w:t>), such information could be factored into the threshold question of whether or not the attorney would invest her limited time to take the case. Community information (e.g., poverty levels or distance to nearest school) could also be considered in calculating an administrative or civil penalty, based upon assessment of “gravity of the harm.”  Community information might also be considered if the EPA chooses to refer the case to DOJ for civil litigation.  All this assumes, however, that the EPA attorney cares enough to investigate the community demographics and has a proper understanding of tools such as EJS</w:t>
      </w:r>
      <w:r w:rsidR="007F6CC0">
        <w:t>CREEN</w:t>
      </w:r>
      <w:r>
        <w:t xml:space="preserve"> in order to collect this information properly.  Students in a class on environmental justice might thus be encouraged to apply to the EPA and other enforcement agencies, and be the caring, competent, empowered and </w:t>
      </w:r>
      <w:r w:rsidRPr="00C057BF">
        <w:rPr>
          <w:i/>
        </w:rPr>
        <w:t>employed</w:t>
      </w:r>
      <w:r>
        <w:t xml:space="preserve"> EJ advocate they may have dreamed of becoming. On the other hand, students may wonder whether taking a government job will constrain their creativity and advocacy on behalf of communities or adversely affect their ability to move into grassroots advocacy later in their careers.  Class discussions on these and related questions of possible career pathways may be rare in law school settings, but should be encouraged by instructors interested in helping students succeed in career goals.</w:t>
      </w:r>
    </w:p>
    <w:p w14:paraId="5409FBC9" w14:textId="77777777" w:rsidR="0070589C" w:rsidRDefault="0070589C" w:rsidP="0070589C">
      <w:pPr>
        <w:pStyle w:val="BodyText"/>
        <w:kinsoku w:val="0"/>
        <w:overflowPunct w:val="0"/>
        <w:ind w:right="897" w:firstLine="720"/>
        <w:jc w:val="both"/>
      </w:pPr>
    </w:p>
    <w:p w14:paraId="1E0D2D7B" w14:textId="701D079C" w:rsidR="0070589C" w:rsidRDefault="00B200FD" w:rsidP="0070589C">
      <w:pPr>
        <w:pStyle w:val="BodyText"/>
        <w:kinsoku w:val="0"/>
        <w:overflowPunct w:val="0"/>
        <w:ind w:right="540" w:firstLine="720"/>
        <w:jc w:val="both"/>
      </w:pPr>
      <w:r>
        <w:rPr>
          <w:b/>
        </w:rPr>
        <w:t>3</w:t>
      </w:r>
      <w:r w:rsidR="0070589C">
        <w:rPr>
          <w:b/>
        </w:rPr>
        <w:t xml:space="preserve">. Squeaky wheels?  </w:t>
      </w:r>
      <w:r w:rsidR="0070589C">
        <w:t xml:space="preserve">The note is mostly self-explanatory.  It acknowledges the </w:t>
      </w:r>
      <w:r w:rsidR="0070589C">
        <w:lastRenderedPageBreak/>
        <w:t xml:space="preserve">continued role of political influence and power in agency decision-making.  However, it also notes that political power and influence may no longer remain an exclusive function of wealth or political connection.  From youth activists including Greta Thunberg and Jamie Margolin (founder of the youth organization This Is Zero Hour:  </w:t>
      </w:r>
      <w:hyperlink r:id="rId26" w:history="1">
        <w:r w:rsidR="0070589C" w:rsidRPr="00B33DA9">
          <w:rPr>
            <w:rStyle w:val="Hyperlink"/>
          </w:rPr>
          <w:t>http://thisiszerohour.org/</w:t>
        </w:r>
      </w:hyperlink>
      <w:r w:rsidR="0070589C">
        <w:t>)</w:t>
      </w:r>
    </w:p>
    <w:p w14:paraId="7A968AE4" w14:textId="6AF182F8" w:rsidR="0070589C" w:rsidRPr="00831D45" w:rsidRDefault="0070589C" w:rsidP="0070589C">
      <w:pPr>
        <w:pStyle w:val="BodyText"/>
        <w:kinsoku w:val="0"/>
        <w:overflowPunct w:val="0"/>
        <w:ind w:right="897"/>
        <w:jc w:val="both"/>
      </w:pPr>
      <w:r>
        <w:t xml:space="preserve">to the new crop of Congressional leaders including Rep. Alexandria Ocasio-Cortez (NY) and Rep. </w:t>
      </w:r>
      <w:r w:rsidR="00734B64">
        <w:t>Rashida Tlaib</w:t>
      </w:r>
      <w:r>
        <w:t xml:space="preserve"> (</w:t>
      </w:r>
      <w:r w:rsidR="00DE36F3">
        <w:t>M</w:t>
      </w:r>
      <w:r w:rsidR="00210D7D">
        <w:t>I</w:t>
      </w:r>
      <w:r>
        <w:t>), the “squeaky wheels” of today may command attention more with ideas, energy, and media access than with money and lobbyists.</w:t>
      </w:r>
    </w:p>
    <w:p w14:paraId="7C5B4A68" w14:textId="77777777" w:rsidR="0070589C" w:rsidRPr="00831D45" w:rsidRDefault="0070589C" w:rsidP="0070589C">
      <w:pPr>
        <w:pStyle w:val="BodyText"/>
        <w:kinsoku w:val="0"/>
        <w:overflowPunct w:val="0"/>
        <w:ind w:right="897" w:firstLine="360"/>
        <w:jc w:val="both"/>
      </w:pPr>
    </w:p>
    <w:p w14:paraId="5542621B" w14:textId="30D7EDB7" w:rsidR="0070589C" w:rsidRDefault="0070589C" w:rsidP="0070589C">
      <w:pPr>
        <w:pStyle w:val="BodyText"/>
        <w:kinsoku w:val="0"/>
        <w:overflowPunct w:val="0"/>
        <w:ind w:right="540" w:firstLine="360"/>
        <w:jc w:val="both"/>
      </w:pPr>
      <w:r w:rsidRPr="00C8023E">
        <w:rPr>
          <w:b/>
        </w:rPr>
        <w:t xml:space="preserve">   </w:t>
      </w:r>
      <w:r>
        <w:rPr>
          <w:b/>
        </w:rPr>
        <w:tab/>
      </w:r>
      <w:r w:rsidR="00FC4235">
        <w:rPr>
          <w:b/>
        </w:rPr>
        <w:t>4</w:t>
      </w:r>
      <w:r>
        <w:rPr>
          <w:b/>
        </w:rPr>
        <w:t>.  Citizen complaints</w:t>
      </w:r>
      <w:r w:rsidRPr="00C8023E">
        <w:rPr>
          <w:b/>
        </w:rPr>
        <w:t>.</w:t>
      </w:r>
      <w:r>
        <w:t xml:space="preserve">  This note emphasizes the tremendous power that community activists outside of the government may wield by simply making a phone call or an online report of an environmental concern.  It might be hard to imagine, but there are agency personnel trained, equipped, and eager to respond to calls that come in through agency hotlines and other channels.  The challenge for community activists is usually knowing that these channels exist.  Another concern might be possible consequences for filing a report, such as losing a job or getting “blacklisted” in an industry.  Such retaliation would be a serious violation of federal law. </w:t>
      </w:r>
      <w:r w:rsidRPr="00C40ABD">
        <w:t xml:space="preserve">Whistleblower Protection Act, 5 U.S.C. § 1201 (1989); </w:t>
      </w:r>
      <w:r>
        <w:t>42 U.S.C. § 7622 (1977); 33 U.S.C. § 1367 (1972);</w:t>
      </w:r>
      <w:r w:rsidRPr="006C1746">
        <w:t xml:space="preserve"> </w:t>
      </w:r>
      <w:r>
        <w:t>42 U.S.C. § 6971 (1980);</w:t>
      </w:r>
      <w:r w:rsidRPr="006C1746">
        <w:t xml:space="preserve"> </w:t>
      </w:r>
      <w:r>
        <w:t xml:space="preserve">42 U.S.C. § 9610 (1980).  However, retaliation still may occur, and the threat remains a real concern for many workers.  Alternatives may include filing reports anonymously or filing complaints through a third party, such as a community organization or lead aid office. </w:t>
      </w:r>
    </w:p>
    <w:p w14:paraId="6EBA760E" w14:textId="77777777" w:rsidR="0070589C" w:rsidRDefault="0070589C" w:rsidP="0070589C">
      <w:pPr>
        <w:pStyle w:val="BodyText"/>
        <w:kinsoku w:val="0"/>
        <w:overflowPunct w:val="0"/>
        <w:ind w:left="720" w:right="897"/>
        <w:jc w:val="both"/>
      </w:pPr>
    </w:p>
    <w:p w14:paraId="024FE589" w14:textId="77777777" w:rsidR="0070589C" w:rsidRPr="00247DBD" w:rsidRDefault="0070589C" w:rsidP="00307558">
      <w:pPr>
        <w:pStyle w:val="BodyText"/>
        <w:numPr>
          <w:ilvl w:val="0"/>
          <w:numId w:val="33"/>
        </w:numPr>
        <w:kinsoku w:val="0"/>
        <w:overflowPunct w:val="0"/>
        <w:ind w:right="897"/>
        <w:jc w:val="both"/>
        <w:rPr>
          <w:b/>
        </w:rPr>
      </w:pPr>
      <w:r>
        <w:rPr>
          <w:b/>
        </w:rPr>
        <w:t>Enforcement Purposes</w:t>
      </w:r>
    </w:p>
    <w:p w14:paraId="4E25625B" w14:textId="77777777" w:rsidR="0070589C" w:rsidRDefault="0070589C" w:rsidP="0070589C">
      <w:pPr>
        <w:pStyle w:val="BodyText"/>
        <w:kinsoku w:val="0"/>
        <w:overflowPunct w:val="0"/>
        <w:ind w:left="720" w:right="897"/>
        <w:jc w:val="both"/>
      </w:pPr>
    </w:p>
    <w:p w14:paraId="0B3B0FA3" w14:textId="153792CA" w:rsidR="0070589C" w:rsidRDefault="0070589C" w:rsidP="0070589C">
      <w:pPr>
        <w:pStyle w:val="BodyText"/>
        <w:kinsoku w:val="0"/>
        <w:overflowPunct w:val="0"/>
        <w:ind w:right="540" w:firstLine="720"/>
        <w:jc w:val="both"/>
      </w:pPr>
      <w:r>
        <w:t>The focus of the NLJ article on civil penalties belies a common misunderstanding of the purpose</w:t>
      </w:r>
      <w:r w:rsidR="000B2EDD">
        <w:t>s</w:t>
      </w:r>
      <w:r>
        <w:t xml:space="preserve"> of environmental enforcement.  Penalties constitute a form of punishment, but may do nothing to address what may be the most important concern for EJ communities, that is, fixing a particular environmental problem in their community.  The text here introduces three distinct purposes of environmental enforcement:  </w:t>
      </w:r>
    </w:p>
    <w:p w14:paraId="73D38AC5" w14:textId="77777777" w:rsidR="0070589C" w:rsidRDefault="0070589C" w:rsidP="0070589C">
      <w:pPr>
        <w:pStyle w:val="BodyText"/>
        <w:kinsoku w:val="0"/>
        <w:overflowPunct w:val="0"/>
        <w:ind w:left="1080" w:right="897"/>
        <w:jc w:val="both"/>
      </w:pPr>
    </w:p>
    <w:p w14:paraId="157FAE5E" w14:textId="77777777" w:rsidR="0070589C" w:rsidRDefault="0070589C" w:rsidP="0070589C">
      <w:pPr>
        <w:pStyle w:val="BodyText"/>
        <w:numPr>
          <w:ilvl w:val="0"/>
          <w:numId w:val="19"/>
        </w:numPr>
        <w:kinsoku w:val="0"/>
        <w:overflowPunct w:val="0"/>
        <w:ind w:right="897"/>
        <w:jc w:val="both"/>
      </w:pPr>
      <w:r>
        <w:t>Fix the problem (as through an administrative order or injunctive relief);</w:t>
      </w:r>
    </w:p>
    <w:p w14:paraId="5E50F6EE" w14:textId="77777777" w:rsidR="0070589C" w:rsidRDefault="0070589C" w:rsidP="0070589C">
      <w:pPr>
        <w:pStyle w:val="BodyText"/>
        <w:numPr>
          <w:ilvl w:val="0"/>
          <w:numId w:val="19"/>
        </w:numPr>
        <w:kinsoku w:val="0"/>
        <w:overflowPunct w:val="0"/>
        <w:ind w:right="897"/>
        <w:jc w:val="both"/>
      </w:pPr>
      <w:r>
        <w:t>Deter future violations (as through civil penalties or criminal prosecution); and</w:t>
      </w:r>
    </w:p>
    <w:p w14:paraId="631DFDCC" w14:textId="77777777" w:rsidR="0070589C" w:rsidRDefault="0070589C" w:rsidP="0070589C">
      <w:pPr>
        <w:pStyle w:val="BodyText"/>
        <w:numPr>
          <w:ilvl w:val="0"/>
          <w:numId w:val="19"/>
        </w:numPr>
        <w:kinsoku w:val="0"/>
        <w:overflowPunct w:val="0"/>
        <w:ind w:right="897"/>
        <w:jc w:val="both"/>
      </w:pPr>
      <w:r>
        <w:t xml:space="preserve">Level the playing field (as through recovery of economic benefit from the violation).  </w:t>
      </w:r>
    </w:p>
    <w:p w14:paraId="109E662F" w14:textId="77777777" w:rsidR="0070589C" w:rsidRDefault="0070589C" w:rsidP="0070589C">
      <w:pPr>
        <w:pStyle w:val="BodyText"/>
        <w:kinsoku w:val="0"/>
        <w:overflowPunct w:val="0"/>
        <w:ind w:right="897"/>
        <w:jc w:val="both"/>
      </w:pPr>
    </w:p>
    <w:p w14:paraId="27C2E235" w14:textId="77777777" w:rsidR="0070589C" w:rsidRDefault="0070589C" w:rsidP="0070589C">
      <w:pPr>
        <w:pStyle w:val="BodyText"/>
        <w:kinsoku w:val="0"/>
        <w:overflowPunct w:val="0"/>
        <w:ind w:right="540"/>
        <w:jc w:val="both"/>
      </w:pPr>
      <w:r>
        <w:t>These three purposes of environmental enforcement can provide a useful analytical framework for approaching any environmental violation and determining the most appropriate enforcement response or perhaps sequence of responses.</w:t>
      </w:r>
    </w:p>
    <w:p w14:paraId="7A6CC984" w14:textId="77777777" w:rsidR="0070589C" w:rsidRDefault="0070589C" w:rsidP="0070589C">
      <w:pPr>
        <w:pStyle w:val="BodyText"/>
        <w:kinsoku w:val="0"/>
        <w:overflowPunct w:val="0"/>
        <w:ind w:right="897" w:firstLine="720"/>
        <w:jc w:val="both"/>
      </w:pPr>
    </w:p>
    <w:p w14:paraId="3A7BCAFC" w14:textId="77777777" w:rsidR="0070589C" w:rsidRPr="00C13864" w:rsidRDefault="0070589C" w:rsidP="0070589C">
      <w:pPr>
        <w:widowControl/>
        <w:autoSpaceDE/>
        <w:autoSpaceDN/>
        <w:adjustRightInd/>
        <w:ind w:right="540"/>
        <w:jc w:val="both"/>
        <w:rPr>
          <w:rFonts w:eastAsia="Times New Roman"/>
          <w:sz w:val="24"/>
          <w:szCs w:val="24"/>
        </w:rPr>
      </w:pPr>
      <w:r w:rsidRPr="00C13864">
        <w:rPr>
          <w:sz w:val="24"/>
          <w:szCs w:val="24"/>
        </w:rPr>
        <w:t>The not-very-hypothetical provided here invites students to consider and apply this analytical framework.  Obviously, if people are drinking contaminated water, the priority should not be filing civil litigation and spending the next several years in discovery.  The urgent need to “fix the problem” may require here that EPA issue an emergency order requiring remedial measures.  (EPA did, in fact, issue such an order on Jan. 21, 2016</w:t>
      </w:r>
      <w:r w:rsidRPr="00C13864">
        <w:rPr>
          <w:color w:val="000000" w:themeColor="text1"/>
          <w:sz w:val="24"/>
          <w:szCs w:val="24"/>
        </w:rPr>
        <w:t xml:space="preserve">. </w:t>
      </w:r>
      <w:hyperlink r:id="rId27" w:history="1">
        <w:r w:rsidRPr="00C13864">
          <w:rPr>
            <w:rStyle w:val="Hyperlink"/>
            <w:color w:val="000000" w:themeColor="text1"/>
            <w:sz w:val="24"/>
            <w:szCs w:val="24"/>
          </w:rPr>
          <w:t>https://www.epa.gov/sites/production/files/2016-01/documents/letter_to_governor_snyder_1-21-16.pdf</w:t>
        </w:r>
      </w:hyperlink>
      <w:r w:rsidRPr="00C13864">
        <w:rPr>
          <w:sz w:val="24"/>
          <w:szCs w:val="24"/>
        </w:rPr>
        <w:t xml:space="preserve">) After addressing the purpose of “fix </w:t>
      </w:r>
      <w:r w:rsidRPr="00C13864">
        <w:rPr>
          <w:sz w:val="24"/>
          <w:szCs w:val="24"/>
        </w:rPr>
        <w:lastRenderedPageBreak/>
        <w:t xml:space="preserve">the problem,” the EPA (and other enforcement agencies) may address the need to “deter future violations” by issuing an administrative penalty, seeking penalties in civil litigation, or pursuing criminal prosecution.  </w:t>
      </w:r>
    </w:p>
    <w:p w14:paraId="3A26ED1B" w14:textId="77777777" w:rsidR="0070589C" w:rsidRDefault="0070589C" w:rsidP="0070589C">
      <w:pPr>
        <w:pStyle w:val="BodyText"/>
        <w:kinsoku w:val="0"/>
        <w:overflowPunct w:val="0"/>
        <w:ind w:right="897" w:firstLine="720"/>
        <w:jc w:val="both"/>
      </w:pPr>
    </w:p>
    <w:p w14:paraId="0262EA32" w14:textId="77777777" w:rsidR="0070589C" w:rsidRPr="003A4570" w:rsidRDefault="0070589C" w:rsidP="0070589C">
      <w:pPr>
        <w:pStyle w:val="BodyText"/>
        <w:kinsoku w:val="0"/>
        <w:overflowPunct w:val="0"/>
        <w:ind w:right="897"/>
        <w:jc w:val="center"/>
        <w:rPr>
          <w:b/>
          <w:i/>
          <w:sz w:val="28"/>
          <w:szCs w:val="28"/>
        </w:rPr>
      </w:pPr>
      <w:r w:rsidRPr="003A4570">
        <w:rPr>
          <w:b/>
          <w:i/>
          <w:sz w:val="28"/>
          <w:szCs w:val="28"/>
        </w:rPr>
        <w:t>Notes and Questions</w:t>
      </w:r>
    </w:p>
    <w:p w14:paraId="27BF3B49" w14:textId="77777777" w:rsidR="0070589C" w:rsidRDefault="0070589C" w:rsidP="0070589C">
      <w:pPr>
        <w:pStyle w:val="BodyText"/>
        <w:kinsoku w:val="0"/>
        <w:overflowPunct w:val="0"/>
        <w:ind w:right="897" w:firstLine="360"/>
        <w:jc w:val="both"/>
      </w:pPr>
    </w:p>
    <w:p w14:paraId="6E521F0F" w14:textId="77777777" w:rsidR="0070589C" w:rsidRDefault="0070589C" w:rsidP="0070589C">
      <w:pPr>
        <w:pStyle w:val="BodyText"/>
        <w:kinsoku w:val="0"/>
        <w:overflowPunct w:val="0"/>
        <w:ind w:right="540" w:firstLine="720"/>
        <w:jc w:val="both"/>
      </w:pPr>
      <w:r>
        <w:rPr>
          <w:b/>
        </w:rPr>
        <w:t>1.  Enforcement discretion.</w:t>
      </w:r>
      <w:r>
        <w:t xml:space="preserve">  The note here is mostly self-explanatory.  Community advocates who routinely target government agencies in other contexts may be surprised to find they have no remedy against the government for failure to take an enforcement action in the face of documented violations.  The question at the end of this note encourages students to consider alternatives to an action against the government.  An alternative that should be obvious to some students would be citizen suits under the various environmental statutes, which enable parties with standing to bring enforcement actions directly against the environmental offenders.  Another alternative might be common law tort claims (e.g., nuisance, negligence, and trespass) against the offenders.  These alternatives are explored further in Chapter 13.  </w:t>
      </w:r>
    </w:p>
    <w:p w14:paraId="5F7E747D" w14:textId="77777777" w:rsidR="0070589C" w:rsidRDefault="0070589C" w:rsidP="0070589C">
      <w:pPr>
        <w:pStyle w:val="BodyText"/>
        <w:kinsoku w:val="0"/>
        <w:overflowPunct w:val="0"/>
        <w:ind w:right="897" w:firstLine="360"/>
        <w:jc w:val="both"/>
      </w:pPr>
    </w:p>
    <w:p w14:paraId="1147CAEF" w14:textId="4A032D0A" w:rsidR="0070589C" w:rsidRPr="00623B1D" w:rsidRDefault="0070589C" w:rsidP="0070589C">
      <w:pPr>
        <w:ind w:right="540"/>
        <w:jc w:val="both"/>
        <w:rPr>
          <w:sz w:val="24"/>
          <w:szCs w:val="24"/>
        </w:rPr>
      </w:pPr>
      <w:r>
        <w:rPr>
          <w:b/>
        </w:rPr>
        <w:t xml:space="preserve"> </w:t>
      </w:r>
      <w:r>
        <w:rPr>
          <w:b/>
        </w:rPr>
        <w:tab/>
      </w:r>
      <w:r>
        <w:rPr>
          <w:b/>
          <w:sz w:val="24"/>
          <w:szCs w:val="24"/>
        </w:rPr>
        <w:t>2.  Enforcement and compensation</w:t>
      </w:r>
      <w:r w:rsidRPr="00623B1D">
        <w:rPr>
          <w:b/>
          <w:sz w:val="24"/>
          <w:szCs w:val="24"/>
        </w:rPr>
        <w:t>.</w:t>
      </w:r>
      <w:r>
        <w:rPr>
          <w:sz w:val="24"/>
          <w:szCs w:val="24"/>
        </w:rPr>
        <w:t xml:space="preserve">  This note considers how the three purposes of environmental enforcement may serve the four dimensions of environmental justice as articulated by Kuehn.  Environmental enforcement may be used creatively to serve many of the dimensions of environmental justice, but possibly not all of them.  As noted here, environmental enforcement may be particularly limited in its ability to serve the EJ dimension of “corrective justice,” including compensation for victims.  Beyond the two exceptions noted here (natural resource damages and criminal restitution), victims may need to seek alternative avenues for compensation.  This is why, among other things, civil rights litigation under § 1983 (explored in Chapter 4) and common law claims (explored in Chapter 1</w:t>
      </w:r>
      <w:r w:rsidR="00083401">
        <w:rPr>
          <w:sz w:val="24"/>
          <w:szCs w:val="24"/>
        </w:rPr>
        <w:t>2</w:t>
      </w:r>
      <w:r>
        <w:rPr>
          <w:sz w:val="24"/>
          <w:szCs w:val="24"/>
        </w:rPr>
        <w:t xml:space="preserve">) remain essential tools in the EJ toolbox.  </w:t>
      </w:r>
    </w:p>
    <w:p w14:paraId="0A40FF68" w14:textId="77777777" w:rsidR="0070589C" w:rsidRDefault="0070589C" w:rsidP="0070589C">
      <w:pPr>
        <w:pStyle w:val="ListParagraph"/>
        <w:jc w:val="both"/>
      </w:pPr>
    </w:p>
    <w:p w14:paraId="7A92DE51" w14:textId="77777777" w:rsidR="0070589C" w:rsidRPr="00BF5625" w:rsidRDefault="0070589C" w:rsidP="00307558">
      <w:pPr>
        <w:pStyle w:val="BodyText"/>
        <w:numPr>
          <w:ilvl w:val="0"/>
          <w:numId w:val="33"/>
        </w:numPr>
        <w:kinsoku w:val="0"/>
        <w:overflowPunct w:val="0"/>
        <w:ind w:right="897"/>
        <w:jc w:val="both"/>
        <w:rPr>
          <w:b/>
        </w:rPr>
      </w:pPr>
      <w:r>
        <w:rPr>
          <w:b/>
        </w:rPr>
        <w:t>Enforcement Authorities to Protect Vulnerable Communities</w:t>
      </w:r>
    </w:p>
    <w:p w14:paraId="6F67C9B3" w14:textId="77777777" w:rsidR="0070589C" w:rsidRDefault="0070589C" w:rsidP="0070589C">
      <w:pPr>
        <w:pStyle w:val="BodyText"/>
        <w:kinsoku w:val="0"/>
        <w:overflowPunct w:val="0"/>
        <w:ind w:right="897"/>
        <w:jc w:val="both"/>
      </w:pPr>
    </w:p>
    <w:p w14:paraId="7BB1D707" w14:textId="77777777" w:rsidR="0070589C" w:rsidRDefault="0070589C" w:rsidP="0070589C">
      <w:pPr>
        <w:pStyle w:val="BodyText"/>
        <w:kinsoku w:val="0"/>
        <w:overflowPunct w:val="0"/>
        <w:ind w:right="540" w:firstLine="360"/>
        <w:jc w:val="both"/>
      </w:pPr>
      <w:r>
        <w:t xml:space="preserve">This section begins with selected excerpts from the enforcement provisions of major statutes.  These excerpts are provided mostly as reference materials for practitioners but also provided to enable students to answer the questions that follow.  </w:t>
      </w:r>
    </w:p>
    <w:p w14:paraId="7093233F" w14:textId="77777777" w:rsidR="0070589C" w:rsidRDefault="0070589C" w:rsidP="0070589C">
      <w:pPr>
        <w:pStyle w:val="BodyText"/>
        <w:kinsoku w:val="0"/>
        <w:overflowPunct w:val="0"/>
        <w:ind w:right="897"/>
        <w:jc w:val="both"/>
      </w:pPr>
    </w:p>
    <w:p w14:paraId="57BC23E4" w14:textId="77777777" w:rsidR="0070589C" w:rsidRPr="00B44868" w:rsidRDefault="0070589C" w:rsidP="0070589C">
      <w:pPr>
        <w:pStyle w:val="BodyText"/>
        <w:kinsoku w:val="0"/>
        <w:overflowPunct w:val="0"/>
        <w:ind w:right="897"/>
        <w:jc w:val="center"/>
        <w:rPr>
          <w:b/>
          <w:i/>
          <w:sz w:val="28"/>
          <w:szCs w:val="28"/>
        </w:rPr>
      </w:pPr>
      <w:r w:rsidRPr="00B44868">
        <w:rPr>
          <w:b/>
          <w:i/>
          <w:sz w:val="28"/>
          <w:szCs w:val="28"/>
        </w:rPr>
        <w:t>Notes and Questions</w:t>
      </w:r>
    </w:p>
    <w:p w14:paraId="67B9D358" w14:textId="77777777" w:rsidR="0070589C" w:rsidRDefault="0070589C" w:rsidP="0070589C">
      <w:pPr>
        <w:pStyle w:val="BodyText"/>
        <w:kinsoku w:val="0"/>
        <w:overflowPunct w:val="0"/>
        <w:ind w:right="897"/>
        <w:jc w:val="both"/>
      </w:pPr>
    </w:p>
    <w:p w14:paraId="5EEDB7ED" w14:textId="77777777" w:rsidR="0070589C" w:rsidRDefault="0070589C" w:rsidP="0070589C">
      <w:pPr>
        <w:pStyle w:val="BodyText"/>
        <w:kinsoku w:val="0"/>
        <w:overflowPunct w:val="0"/>
        <w:ind w:right="540" w:firstLine="720"/>
        <w:jc w:val="both"/>
      </w:pPr>
      <w:r w:rsidRPr="002E1539">
        <w:rPr>
          <w:b/>
        </w:rPr>
        <w:t>1.</w:t>
      </w:r>
      <w:r>
        <w:t xml:space="preserve">  </w:t>
      </w:r>
      <w:r>
        <w:rPr>
          <w:b/>
        </w:rPr>
        <w:t>Notice of violation</w:t>
      </w:r>
      <w:r>
        <w:t xml:space="preserve">.  This note asks and answers the question of how a Notice of Violation (NOV) could serve the purposes of environmental enforcement and the interest of environmental justice, even if it does not involve a penalty or order.   The note also asks whether </w:t>
      </w:r>
      <w:r w:rsidRPr="00C40ABD">
        <w:t>an</w:t>
      </w:r>
      <w:r>
        <w:t xml:space="preserve"> NOV is always required before an agency may proceed with further enforcement actions. From the cited provisions, excerpted in this section, students should see that certain enforcement actions under the Clean Air Act do require issuance of an NOV, whereas actions under the Clean Water Act do not.  Likewise, both FIFRA and the Safe Drinking Water Act do require issuance of NOVs before further enforcement action, indicating Congressional policies favoring the “fix the problem” purpose of enforcement.  With the Safe Drinking Water Act in particular, note the extraordinary provisions requiring not only a fair warning </w:t>
      </w:r>
      <w:r>
        <w:lastRenderedPageBreak/>
        <w:t>but also an offer of “technical assistance” to help remedy violations of drinking water standards.</w:t>
      </w:r>
    </w:p>
    <w:p w14:paraId="60B5DA95" w14:textId="77777777" w:rsidR="0070589C" w:rsidRDefault="0070589C" w:rsidP="0070589C">
      <w:pPr>
        <w:pStyle w:val="BodyText"/>
        <w:kinsoku w:val="0"/>
        <w:overflowPunct w:val="0"/>
        <w:ind w:right="897" w:firstLine="720"/>
        <w:jc w:val="both"/>
      </w:pPr>
    </w:p>
    <w:p w14:paraId="3B8F7E04" w14:textId="77777777" w:rsidR="0070589C" w:rsidRDefault="0070589C" w:rsidP="0070589C">
      <w:pPr>
        <w:pStyle w:val="BodyText"/>
        <w:kinsoku w:val="0"/>
        <w:overflowPunct w:val="0"/>
        <w:ind w:right="897"/>
        <w:jc w:val="both"/>
      </w:pPr>
      <w:r>
        <w:rPr>
          <w:b/>
        </w:rPr>
        <w:tab/>
        <w:t>2.  Administrative orders</w:t>
      </w:r>
      <w:r w:rsidRPr="007D70A4">
        <w:rPr>
          <w:b/>
        </w:rPr>
        <w:t>.</w:t>
      </w:r>
      <w:r>
        <w:t xml:space="preserve">  This note is self-explanatory. </w:t>
      </w:r>
    </w:p>
    <w:p w14:paraId="0AE22AE9" w14:textId="77777777" w:rsidR="0070589C" w:rsidRDefault="0070589C" w:rsidP="0070589C">
      <w:pPr>
        <w:pStyle w:val="BodyText"/>
        <w:kinsoku w:val="0"/>
        <w:overflowPunct w:val="0"/>
        <w:ind w:right="897"/>
        <w:jc w:val="both"/>
      </w:pPr>
    </w:p>
    <w:p w14:paraId="2194DCC0" w14:textId="77777777" w:rsidR="0070589C" w:rsidRDefault="0070589C" w:rsidP="0070589C">
      <w:pPr>
        <w:pStyle w:val="BodyText"/>
        <w:tabs>
          <w:tab w:val="left" w:pos="8820"/>
        </w:tabs>
        <w:kinsoku w:val="0"/>
        <w:overflowPunct w:val="0"/>
        <w:ind w:right="540" w:firstLine="720"/>
        <w:jc w:val="both"/>
      </w:pPr>
      <w:r w:rsidRPr="009853DA">
        <w:rPr>
          <w:b/>
        </w:rPr>
        <w:t>3.  Penalty calculations.</w:t>
      </w:r>
      <w:r>
        <w:t xml:space="preserve">  The questions here emphasize that justice (including environmental justice) requires flexibility in determining penalty amounts.  This need for flexibility appears clearly in the particular context of Flint, Michigan, where a heavy penalty might further impoverish a community on the brink of financial collapse and further endanger residents depending on the municipality for drinking water.  Accordingly, the focus of the NLJ article on penalty amounts as a measure of environmental protection may be seen as misplaced.</w:t>
      </w:r>
    </w:p>
    <w:p w14:paraId="66E57CC0" w14:textId="77777777" w:rsidR="0070589C" w:rsidRDefault="0070589C" w:rsidP="0070589C">
      <w:pPr>
        <w:pStyle w:val="BodyText"/>
        <w:kinsoku w:val="0"/>
        <w:overflowPunct w:val="0"/>
        <w:ind w:right="897" w:firstLine="720"/>
        <w:jc w:val="both"/>
      </w:pPr>
    </w:p>
    <w:p w14:paraId="0CEFCB23" w14:textId="77777777" w:rsidR="0070589C" w:rsidRDefault="0070589C" w:rsidP="0070589C">
      <w:pPr>
        <w:pStyle w:val="BodyText"/>
        <w:kinsoku w:val="0"/>
        <w:overflowPunct w:val="0"/>
        <w:ind w:right="540" w:firstLine="720"/>
        <w:jc w:val="both"/>
      </w:pPr>
      <w:r w:rsidRPr="006B052A">
        <w:rPr>
          <w:b/>
        </w:rPr>
        <w:t>4.  Penalty adjustments.</w:t>
      </w:r>
      <w:r>
        <w:t xml:space="preserve">  As indicated in this note, the maximum penalties specified in the environmental statutes have been adjusted over time to account for inflation, theoretically maintaining the deterrence value of such penalties.  </w:t>
      </w:r>
    </w:p>
    <w:p w14:paraId="6650BB14" w14:textId="77777777" w:rsidR="0070589C" w:rsidRDefault="0070589C" w:rsidP="0070589C">
      <w:pPr>
        <w:pStyle w:val="BodyText"/>
        <w:kinsoku w:val="0"/>
        <w:overflowPunct w:val="0"/>
        <w:ind w:right="897" w:firstLine="720"/>
        <w:jc w:val="both"/>
      </w:pPr>
    </w:p>
    <w:p w14:paraId="42DE72EA" w14:textId="50B13FA4" w:rsidR="0070589C" w:rsidRDefault="0070589C" w:rsidP="00E605A9">
      <w:pPr>
        <w:pStyle w:val="BodyText"/>
        <w:kinsoku w:val="0"/>
        <w:overflowPunct w:val="0"/>
        <w:ind w:right="540" w:firstLine="720"/>
        <w:jc w:val="both"/>
      </w:pPr>
      <w:r w:rsidRPr="00C503C2">
        <w:rPr>
          <w:b/>
        </w:rPr>
        <w:t>5.  Criminal prosecution.</w:t>
      </w:r>
      <w:r>
        <w:t xml:space="preserve">  To answer the </w:t>
      </w:r>
      <w:r w:rsidR="00FE367E">
        <w:t xml:space="preserve">second </w:t>
      </w:r>
      <w:r>
        <w:t>question in this note, the threat or actuality of criminal prosecution could encourage people to ensure compliance with environmental requirements.  For example, after many Michigan state and local employees were indicted for crimes up to and including manslaughter for the Flint drinking water contamination, employees in other states took notice and further measures to ensure the provision of safe drinking water in their areas of responsibility.  On the other hand, the threat of criminal prosecution could encourage other actors to attempt to hide their environmental problems from regulators, allowing problems and community impacts to worsen.</w:t>
      </w:r>
    </w:p>
    <w:p w14:paraId="6AEB5452" w14:textId="67A3CB53" w:rsidR="0070589C" w:rsidRDefault="0070589C" w:rsidP="0070589C">
      <w:pPr>
        <w:pStyle w:val="BodyText"/>
        <w:kinsoku w:val="0"/>
        <w:overflowPunct w:val="0"/>
        <w:ind w:right="540" w:firstLine="720"/>
        <w:jc w:val="both"/>
      </w:pPr>
      <w:r>
        <w:t xml:space="preserve">The note </w:t>
      </w:r>
      <w:r w:rsidR="007A317C">
        <w:t xml:space="preserve">is intended to encourage </w:t>
      </w:r>
      <w:r>
        <w:t>students interested in environmental justice to consider careers in criminal prosecution.  Especially with rules protecting the secrecy of grand jury proceedings and criminal investigation, criminal prosecution is particularly removed from the “meaningful involvement” pillar of environmental justice.  But one direct way that EJ advocates can become meaningfully involvement in criminal prosecution is to become a criminal prosecutor and make decisions on which cases are most deserving of criminal prosecution.  Often, the cases most deserving of criminal prosecution are those that respond to the gravest physical injuries, including cases where minority and low-income people are subjected to unsafe living or working conditions.  Cases of this nature may be prosecuted by state and local prosecutors, where many law students may find entry-level employment.  As such, it is realistic to imagine that law students may have a direct path to pursuing environmental justice through criminal prosecution.</w:t>
      </w:r>
    </w:p>
    <w:p w14:paraId="610EBB68" w14:textId="77777777" w:rsidR="0070589C" w:rsidRDefault="0070589C" w:rsidP="0070589C">
      <w:pPr>
        <w:pStyle w:val="BodyText"/>
        <w:kinsoku w:val="0"/>
        <w:overflowPunct w:val="0"/>
        <w:ind w:right="897" w:firstLine="720"/>
        <w:jc w:val="both"/>
      </w:pPr>
    </w:p>
    <w:p w14:paraId="0D387B19" w14:textId="0D167957" w:rsidR="0070589C" w:rsidRDefault="0070589C" w:rsidP="0070589C">
      <w:pPr>
        <w:pStyle w:val="BodyText"/>
        <w:kinsoku w:val="0"/>
        <w:overflowPunct w:val="0"/>
        <w:ind w:right="540" w:firstLine="720"/>
        <w:jc w:val="both"/>
      </w:pPr>
      <w:r w:rsidRPr="00951946">
        <w:rPr>
          <w:b/>
        </w:rPr>
        <w:t xml:space="preserve">6.  </w:t>
      </w:r>
      <w:r w:rsidR="00A745CA">
        <w:rPr>
          <w:b/>
        </w:rPr>
        <w:t>Pesticides regulation</w:t>
      </w:r>
      <w:r w:rsidRPr="00951946">
        <w:rPr>
          <w:b/>
        </w:rPr>
        <w:t>.</w:t>
      </w:r>
      <w:r>
        <w:t xml:space="preserve">  Some of the gravest concerns for environmental injustice, including concerns identified by César Chavez at the start of the farm labor movement, involved the mishandling and misuse of pesticides and the potential impacts on farmworkers and their families.  These are concerns that FIFRA enforcement is intended to address.  As noted, however, the criminal enforcement provisions are notably deficient compared to other statutes.  This could reflect the power of the agricultural lobby, but it also might reflect the historical fact that FIFRA was not amended to add criminal provisions in the 1980s when other statutes were so amended, and that Congress effectively ended environmental </w:t>
      </w:r>
      <w:r>
        <w:lastRenderedPageBreak/>
        <w:t xml:space="preserve">legislating in the 1990s.  Nevertheless, provisions for injunctive relief and civil penalties could be used effectively or </w:t>
      </w:r>
      <w:r w:rsidRPr="0001161F">
        <w:rPr>
          <w:i/>
        </w:rPr>
        <w:t>more</w:t>
      </w:r>
      <w:r>
        <w:t xml:space="preserve"> effectively to achieve the purposes of environmental enforcement and aims of environmental justice.</w:t>
      </w:r>
    </w:p>
    <w:p w14:paraId="4AD71A4A" w14:textId="77777777" w:rsidR="0070589C" w:rsidRDefault="0070589C" w:rsidP="0070589C">
      <w:pPr>
        <w:pStyle w:val="BodyText"/>
        <w:kinsoku w:val="0"/>
        <w:overflowPunct w:val="0"/>
        <w:ind w:right="897" w:firstLine="720"/>
        <w:jc w:val="both"/>
      </w:pPr>
    </w:p>
    <w:p w14:paraId="3918692B" w14:textId="3DC07123" w:rsidR="0070589C" w:rsidRDefault="0070589C" w:rsidP="0070589C">
      <w:pPr>
        <w:pStyle w:val="BodyText"/>
        <w:kinsoku w:val="0"/>
        <w:overflowPunct w:val="0"/>
        <w:ind w:right="540" w:firstLine="720"/>
        <w:jc w:val="both"/>
      </w:pPr>
      <w:r w:rsidRPr="002A2FBB">
        <w:rPr>
          <w:b/>
        </w:rPr>
        <w:t>7.  T</w:t>
      </w:r>
      <w:r w:rsidR="009F04D4">
        <w:rPr>
          <w:b/>
        </w:rPr>
        <w:t>oxic substances</w:t>
      </w:r>
      <w:r w:rsidRPr="002A2FBB">
        <w:rPr>
          <w:b/>
        </w:rPr>
        <w:t>.</w:t>
      </w:r>
      <w:r>
        <w:t xml:space="preserve">  The story of TSCA enforcement is mostly one of regulatory failure, coming nowhere near the expressed intent of Congress to ensure the safety of chemicals in commerce.  </w:t>
      </w:r>
      <w:r w:rsidRPr="002A2FBB">
        <w:rPr>
          <w:i/>
        </w:rPr>
        <w:t>See</w:t>
      </w:r>
      <w:r>
        <w:t xml:space="preserve"> TSCA § 2, 15 U.S.C. § 2601(b):  “It is the policy of the United States that – (1) adequate data should be developed with respect to the effect of chemical substances and mixtures on health and the environment….”  </w:t>
      </w:r>
      <w:r w:rsidR="008554E0">
        <w:t>A</w:t>
      </w:r>
      <w:r>
        <w:t>s noted, Congress managed to enact new amendments to TSCA in 2016, among other things adding new criminal penalties for “knowing endangerment.”</w:t>
      </w:r>
      <w:r w:rsidR="0058023F">
        <w:t xml:space="preserve">  </w:t>
      </w:r>
      <w:r w:rsidR="00410F21">
        <w:t>U</w:t>
      </w:r>
      <w:r w:rsidR="00295065">
        <w:t xml:space="preserve">nder the Biden administration, </w:t>
      </w:r>
      <w:r w:rsidR="00410F21">
        <w:t xml:space="preserve">EPA </w:t>
      </w:r>
      <w:r w:rsidR="005A1E68">
        <w:t xml:space="preserve">made use of new TSCA authorities to promulgate regulations that </w:t>
      </w:r>
      <w:r w:rsidR="00295065">
        <w:t>among other things bann</w:t>
      </w:r>
      <w:r w:rsidR="005A1E68">
        <w:t>ed</w:t>
      </w:r>
      <w:r w:rsidR="00295065">
        <w:t xml:space="preserve"> </w:t>
      </w:r>
      <w:r w:rsidR="006B521A">
        <w:t xml:space="preserve">commercial use of chrysotile asbestos.  </w:t>
      </w:r>
      <w:r w:rsidR="006B0419">
        <w:t xml:space="preserve">Whether the new rules will survive the second Trump administration </w:t>
      </w:r>
      <w:r w:rsidR="00F435E0">
        <w:t>and w</w:t>
      </w:r>
      <w:r>
        <w:t xml:space="preserve">hether </w:t>
      </w:r>
      <w:r w:rsidR="00F435E0">
        <w:t xml:space="preserve">the new TSCA enforcement </w:t>
      </w:r>
      <w:r>
        <w:t xml:space="preserve">provisions will affect any positive change for EJ communities remains to be seen, possibly through a new generation of environmental enforcers. </w:t>
      </w:r>
    </w:p>
    <w:p w14:paraId="788759C1" w14:textId="77777777" w:rsidR="0070589C" w:rsidRDefault="0070589C" w:rsidP="0070589C">
      <w:pPr>
        <w:pStyle w:val="BodyText"/>
        <w:kinsoku w:val="0"/>
        <w:overflowPunct w:val="0"/>
        <w:ind w:right="897" w:firstLine="720"/>
        <w:jc w:val="both"/>
      </w:pPr>
    </w:p>
    <w:p w14:paraId="26E5A2BA" w14:textId="1E165FC4" w:rsidR="0070589C" w:rsidRDefault="0070589C" w:rsidP="00061962">
      <w:pPr>
        <w:pStyle w:val="BodyText"/>
        <w:kinsoku w:val="0"/>
        <w:overflowPunct w:val="0"/>
        <w:ind w:right="540" w:firstLine="720"/>
        <w:jc w:val="both"/>
      </w:pPr>
      <w:r w:rsidRPr="001C6A71">
        <w:rPr>
          <w:b/>
        </w:rPr>
        <w:t>8.  Federalism.</w:t>
      </w:r>
      <w:r>
        <w:t xml:space="preserve">  The notes here are mostly self-explanatory and the questions are mostly rhetorical.  In exploring the concept of federalism, instructors may wish to ask students to identify both the advantages and disadvantages of state enforcement as compared to federal enforcement.  One common criticism of federal enforcement is that enforcers from “Washington” (meaning, Washington, D.C.) may be out of touch with the needs of the local communities.  This overlooks the fact that most federal enforcers are based in regional or field offices and may be closer to the local concerns than many people may imagine.  On the other hand, when the federal administration shifts (as from Obama to Trump), federal enforcers may become politically disabled from doing their jobs, so state enforcement becomes essential.  </w:t>
      </w:r>
    </w:p>
    <w:p w14:paraId="74D0F9FD" w14:textId="73E73C48" w:rsidR="0070589C" w:rsidRDefault="0070589C" w:rsidP="00110167">
      <w:pPr>
        <w:pStyle w:val="BodyText"/>
        <w:kinsoku w:val="0"/>
        <w:overflowPunct w:val="0"/>
        <w:ind w:right="540" w:firstLine="720"/>
        <w:jc w:val="both"/>
      </w:pPr>
      <w:r>
        <w:t>Another major concern is enforcement resources.  Most environmental enforcement is, in fact, state enforcement for various reasons. For example, state agencies collectively have more resources than the EPA and they may dedicate efforts to smaller but more numerous violations. On the other hand, some poorer states, where EJ issues may proliferate, may have the fewest resources available for enforcement, and thus remain dependent on federal action.  In the State of New Mexico, for example, the New Mexico Environment Department has a total of seven inspectors charged with monitoring 7,000 sources of air pollution.  The impossibility of monitoring all these air pollution sources in part explains why New Mexico may be the last state without authorization to implement programs under the Clean Water Act.</w:t>
      </w:r>
    </w:p>
    <w:p w14:paraId="4E189C9D" w14:textId="28F8BB31" w:rsidR="0070589C" w:rsidRDefault="0070589C" w:rsidP="00CE4EA8">
      <w:pPr>
        <w:pStyle w:val="BodyText"/>
        <w:kinsoku w:val="0"/>
        <w:overflowPunct w:val="0"/>
        <w:ind w:right="540" w:firstLine="720"/>
        <w:jc w:val="both"/>
      </w:pPr>
      <w:r>
        <w:t xml:space="preserve">The last paragraph of this note attempts to illustrate some of the great dangers of “cooperative federalism.”  For one thing, when multiple levels of government may have authority to enforce the law, each level may attempt to “pass the buck” and assume some other agency will act to protect the public interest.  On the other hand, agencies (especially, the EPA) may fail to act out of deference to state or local agencies and fear of “stepping on toes.”  (Note this is actually the opposite of what many academics assume is a problem of turf battles, where each agency seeks to defend or expand its area of authority.)  Both of these unfortunate dangers were illustrated in the Flint case, where EPA Region 5 deferred to the Michigan Department of Environmental Quality which deferred to local entities, to the </w:t>
      </w:r>
      <w:r>
        <w:lastRenderedPageBreak/>
        <w:t xml:space="preserve">detriment of all residents of Flint.  The EPA Regional Administrator (by accounts a decent lawyer and Obama-appointee) failed to take concerns for the Flint drinking water seriously and responded instinctively by referring concerns to the state.  </w:t>
      </w:r>
    </w:p>
    <w:p w14:paraId="213D1F89" w14:textId="77777777" w:rsidR="0070589C" w:rsidRPr="00296850" w:rsidRDefault="0070589C" w:rsidP="00CE4EA8">
      <w:pPr>
        <w:widowControl/>
        <w:autoSpaceDE/>
        <w:autoSpaceDN/>
        <w:adjustRightInd/>
        <w:ind w:right="540" w:firstLine="720"/>
        <w:rPr>
          <w:rFonts w:eastAsia="Times New Roman"/>
          <w:sz w:val="24"/>
          <w:szCs w:val="24"/>
        </w:rPr>
      </w:pPr>
      <w:r w:rsidRPr="00296850">
        <w:rPr>
          <w:sz w:val="24"/>
          <w:szCs w:val="24"/>
        </w:rPr>
        <w:t xml:space="preserve">For a graphic illustration of this deadly buck-passing, instructors may share the following exchange.  On June 24, 2015, EPA chemist Miguel Del Toral shared a memorandum </w:t>
      </w:r>
      <w:r w:rsidRPr="00296850">
        <w:rPr>
          <w:color w:val="000000" w:themeColor="text1"/>
          <w:sz w:val="24"/>
          <w:szCs w:val="24"/>
        </w:rPr>
        <w:t>(</w:t>
      </w:r>
      <w:hyperlink r:id="rId28" w:history="1">
        <w:r w:rsidRPr="00296850">
          <w:rPr>
            <w:rStyle w:val="Hyperlink"/>
            <w:color w:val="000000" w:themeColor="text1"/>
            <w:sz w:val="24"/>
            <w:szCs w:val="24"/>
          </w:rPr>
          <w:t>http://flintwaterstudy.org/wp-content/uploads/2015/11/Miguels-Memo.pdf</w:t>
        </w:r>
      </w:hyperlink>
      <w:r w:rsidRPr="00296850">
        <w:rPr>
          <w:color w:val="000000" w:themeColor="text1"/>
          <w:sz w:val="24"/>
          <w:szCs w:val="24"/>
        </w:rPr>
        <w:t>)</w:t>
      </w:r>
      <w:r w:rsidRPr="00296850">
        <w:rPr>
          <w:sz w:val="24"/>
          <w:szCs w:val="24"/>
        </w:rPr>
        <w:t xml:space="preserve"> with EPA managers and local leaders identifying “high lead levels in Flint, Michigan.”  Specifically, Del Toral noted:</w:t>
      </w:r>
    </w:p>
    <w:p w14:paraId="40EF7ED8" w14:textId="77777777" w:rsidR="0070589C" w:rsidRDefault="0070589C" w:rsidP="0070589C">
      <w:pPr>
        <w:pStyle w:val="BodyText"/>
        <w:kinsoku w:val="0"/>
        <w:overflowPunct w:val="0"/>
        <w:ind w:right="897" w:firstLine="720"/>
        <w:jc w:val="both"/>
      </w:pPr>
    </w:p>
    <w:p w14:paraId="3EE20786" w14:textId="77777777" w:rsidR="0070589C" w:rsidRDefault="0070589C" w:rsidP="0070589C">
      <w:pPr>
        <w:pStyle w:val="BodyText"/>
        <w:kinsoku w:val="0"/>
        <w:overflowPunct w:val="0"/>
        <w:ind w:left="720" w:right="897"/>
        <w:jc w:val="both"/>
      </w:pPr>
      <w:r>
        <w:t>Recent drinking water sample results indicate the presence of high lead results in the drinking water, which is to be expected in a public water system that is not providing corrosion control treatment.  The lack of any mitigating treatment for lead is of serious concern for residents that live in homes with lead services lines…, which are common throughout the City of Flint.</w:t>
      </w:r>
    </w:p>
    <w:p w14:paraId="00477E78" w14:textId="77777777" w:rsidR="0070589C" w:rsidRDefault="0070589C" w:rsidP="0070589C">
      <w:pPr>
        <w:pStyle w:val="BodyText"/>
        <w:kinsoku w:val="0"/>
        <w:overflowPunct w:val="0"/>
        <w:ind w:right="897"/>
        <w:jc w:val="both"/>
      </w:pPr>
    </w:p>
    <w:p w14:paraId="51CB6C74" w14:textId="77777777" w:rsidR="0070589C" w:rsidRPr="00296850" w:rsidRDefault="0070589C" w:rsidP="0070589C">
      <w:pPr>
        <w:widowControl/>
        <w:autoSpaceDE/>
        <w:autoSpaceDN/>
        <w:adjustRightInd/>
        <w:ind w:right="540"/>
        <w:rPr>
          <w:rFonts w:eastAsia="Times New Roman"/>
          <w:sz w:val="24"/>
          <w:szCs w:val="24"/>
        </w:rPr>
      </w:pPr>
      <w:r w:rsidRPr="00296850">
        <w:rPr>
          <w:sz w:val="24"/>
          <w:szCs w:val="24"/>
        </w:rPr>
        <w:t>To this alarming report, Susan Hedman, the EPA Regional Administrator, responded not by racing to protect the residents of Flint, but by attacking the chemist’s report.  In a July 2015 memorandum</w:t>
      </w:r>
      <w:r w:rsidRPr="00296850">
        <w:rPr>
          <w:color w:val="000000" w:themeColor="text1"/>
          <w:sz w:val="24"/>
          <w:szCs w:val="24"/>
        </w:rPr>
        <w:t xml:space="preserve"> </w:t>
      </w:r>
      <w:hyperlink r:id="rId29" w:history="1">
        <w:r w:rsidRPr="00296850">
          <w:rPr>
            <w:rStyle w:val="Hyperlink"/>
            <w:color w:val="000000" w:themeColor="text1"/>
            <w:sz w:val="24"/>
            <w:szCs w:val="24"/>
          </w:rPr>
          <w:t>http://flintwaterstudy.org/wp-content/uploads/2015/10/Virginia-Tech-FOIA-EPA.pdf</w:t>
        </w:r>
      </w:hyperlink>
      <w:r w:rsidRPr="00296850">
        <w:rPr>
          <w:sz w:val="24"/>
          <w:szCs w:val="24"/>
        </w:rPr>
        <w:t>, Hedman wrote to city officials:</w:t>
      </w:r>
    </w:p>
    <w:p w14:paraId="040C7417" w14:textId="77777777" w:rsidR="0070589C" w:rsidRDefault="0070589C" w:rsidP="0070589C">
      <w:pPr>
        <w:pStyle w:val="BodyText"/>
        <w:kinsoku w:val="0"/>
        <w:overflowPunct w:val="0"/>
        <w:ind w:right="897"/>
        <w:jc w:val="both"/>
      </w:pPr>
    </w:p>
    <w:p w14:paraId="6CCE3EF7" w14:textId="77777777" w:rsidR="0070589C" w:rsidRDefault="0070589C" w:rsidP="0070589C">
      <w:pPr>
        <w:pStyle w:val="BodyText"/>
        <w:kinsoku w:val="0"/>
        <w:overflowPunct w:val="0"/>
        <w:ind w:left="720" w:right="897"/>
        <w:jc w:val="both"/>
      </w:pPr>
      <w:r>
        <w:t>The preliminary draft report should not have been released outside the agency…. When the report has been revised and fully vetted by EPA management, the findings and recommendations will be shared with the City and MDEQ – and MDEQ will be responsible for following up with the City.</w:t>
      </w:r>
    </w:p>
    <w:p w14:paraId="3F5274CE" w14:textId="77777777" w:rsidR="0070589C" w:rsidRDefault="0070589C" w:rsidP="0070589C">
      <w:pPr>
        <w:pStyle w:val="BodyText"/>
        <w:kinsoku w:val="0"/>
        <w:overflowPunct w:val="0"/>
        <w:ind w:right="897"/>
        <w:jc w:val="both"/>
      </w:pPr>
    </w:p>
    <w:p w14:paraId="183B873C" w14:textId="101896FD" w:rsidR="0070589C" w:rsidRDefault="0070589C" w:rsidP="00C77111">
      <w:pPr>
        <w:pStyle w:val="BodyText"/>
        <w:kinsoku w:val="0"/>
        <w:overflowPunct w:val="0"/>
        <w:ind w:right="540"/>
        <w:jc w:val="both"/>
      </w:pPr>
      <w:r>
        <w:t xml:space="preserve">In reviewing Hedman’s memo, students may wonder why chemistry results would need to be “vetted” through “EPA management” (presumably including lawyers such as Hedman herself).  Do the lawyers and other managers imagine they are better equipped than a chemist to perform and interpret chemical analysis?  Also note that Hedman’s memo indicates an intent to </w:t>
      </w:r>
      <w:r w:rsidRPr="006858E8">
        <w:rPr>
          <w:i/>
        </w:rPr>
        <w:t>never</w:t>
      </w:r>
      <w:r>
        <w:t xml:space="preserve"> share </w:t>
      </w:r>
      <w:r w:rsidRPr="006858E8">
        <w:rPr>
          <w:i/>
        </w:rPr>
        <w:t>any</w:t>
      </w:r>
      <w:r>
        <w:t xml:space="preserve"> results with Flint residents.  At some point after Flint residents have been drinking contaminated water for months, “fully vetted” results will be shared, but only with city and state officials.  Hedman’s memo explicitly denies any responsibility for “following up” with “the City” – and never bothers to consider following up with the poisoned residents of Flint.  As one eventual consequence for her irresponsible action, Hedman resigned under political pressure six months later, on January 20, 2016.</w:t>
      </w:r>
    </w:p>
    <w:p w14:paraId="3EBFB5FB" w14:textId="77777777" w:rsidR="0070589C" w:rsidRDefault="0070589C" w:rsidP="00C77111">
      <w:pPr>
        <w:pStyle w:val="BodyText"/>
        <w:kinsoku w:val="0"/>
        <w:overflowPunct w:val="0"/>
        <w:ind w:right="540" w:firstLine="720"/>
        <w:jc w:val="both"/>
      </w:pPr>
      <w:r>
        <w:t>This episode demonstrates that if students interested in environmental justice enter public service, they may sometimes be called upon to make courageous decisions to protect the public health.  They must listen to their scientists and other technical experts, and they must be prepared to act decisively, even if these decisions may ruffle some feathers or prove politically unpopular.</w:t>
      </w:r>
    </w:p>
    <w:p w14:paraId="5BB525F7" w14:textId="77777777" w:rsidR="0070589C" w:rsidRDefault="0070589C" w:rsidP="0070589C">
      <w:pPr>
        <w:pStyle w:val="BodyText"/>
        <w:kinsoku w:val="0"/>
        <w:overflowPunct w:val="0"/>
        <w:ind w:right="897" w:firstLine="720"/>
        <w:jc w:val="both"/>
      </w:pPr>
    </w:p>
    <w:p w14:paraId="4F7E4F05" w14:textId="7007874D" w:rsidR="0070589C" w:rsidRPr="00336725" w:rsidRDefault="0070589C" w:rsidP="00307558">
      <w:pPr>
        <w:pStyle w:val="BodyText"/>
        <w:numPr>
          <w:ilvl w:val="0"/>
          <w:numId w:val="33"/>
        </w:numPr>
        <w:kinsoku w:val="0"/>
        <w:overflowPunct w:val="0"/>
        <w:ind w:right="897"/>
        <w:jc w:val="both"/>
        <w:rPr>
          <w:b/>
        </w:rPr>
      </w:pPr>
      <w:r w:rsidRPr="00336725">
        <w:rPr>
          <w:b/>
        </w:rPr>
        <w:t xml:space="preserve"> Enforcement Policies to Pro</w:t>
      </w:r>
      <w:r w:rsidR="00BB7F27">
        <w:rPr>
          <w:b/>
        </w:rPr>
        <w:t>mote Environmental Justice</w:t>
      </w:r>
    </w:p>
    <w:p w14:paraId="3BAA47EF" w14:textId="77777777" w:rsidR="0070589C" w:rsidRDefault="0070589C" w:rsidP="0070589C">
      <w:pPr>
        <w:pStyle w:val="BodyText"/>
        <w:kinsoku w:val="0"/>
        <w:overflowPunct w:val="0"/>
        <w:ind w:left="360" w:right="897"/>
        <w:jc w:val="both"/>
      </w:pPr>
    </w:p>
    <w:p w14:paraId="0E9682DB" w14:textId="1A4012B9" w:rsidR="0070589C" w:rsidRDefault="0070589C" w:rsidP="0070589C">
      <w:pPr>
        <w:pStyle w:val="BodyText"/>
        <w:kinsoku w:val="0"/>
        <w:overflowPunct w:val="0"/>
        <w:ind w:right="540" w:firstLine="360"/>
        <w:jc w:val="both"/>
      </w:pPr>
      <w:r>
        <w:t>Th</w:t>
      </w:r>
      <w:r w:rsidR="00C821D7">
        <w:t xml:space="preserve">e opening of this section </w:t>
      </w:r>
      <w:r w:rsidR="004D6CA4">
        <w:t xml:space="preserve">suggests many different ways that environmental enforcement might be used to pursue </w:t>
      </w:r>
      <w:r>
        <w:t>environmental justice</w:t>
      </w:r>
      <w:r w:rsidR="004D6CA4">
        <w:t xml:space="preserve">.  </w:t>
      </w:r>
      <w:r w:rsidR="00553C46">
        <w:t>Some of these ways are suggested by the titles of the four policies</w:t>
      </w:r>
      <w:r w:rsidR="0041295F">
        <w:t xml:space="preserve"> issued by the Biden EPA</w:t>
      </w:r>
      <w:r w:rsidR="00EA474A">
        <w:t xml:space="preserve">.  (In case they disappear </w:t>
      </w:r>
      <w:r w:rsidR="00EA474A">
        <w:lastRenderedPageBreak/>
        <w:t xml:space="preserve">from the EPA website, each policy is preserved and available through the our companion website:  </w:t>
      </w:r>
      <w:hyperlink r:id="rId30" w:history="1">
        <w:r w:rsidR="00EA474A" w:rsidRPr="00497A9F">
          <w:rPr>
            <w:rStyle w:val="Hyperlink"/>
          </w:rPr>
          <w:t>www.environmentaljusticebook.org</w:t>
        </w:r>
      </w:hyperlink>
      <w:r w:rsidR="00DC1DDE">
        <w:t>.)</w:t>
      </w:r>
      <w:r w:rsidR="00EA474A">
        <w:t xml:space="preserve"> </w:t>
      </w:r>
      <w:r w:rsidR="0074078C">
        <w:t xml:space="preserve">The inclusion of the Maryland criminal action here </w:t>
      </w:r>
      <w:r w:rsidR="00B61D09">
        <w:t xml:space="preserve">(also included on the book website) </w:t>
      </w:r>
      <w:r w:rsidR="0074078C">
        <w:t xml:space="preserve">is intended to remind students of the significant role of </w:t>
      </w:r>
      <w:r w:rsidR="00B61D09">
        <w:t xml:space="preserve">state and local enforcement.  </w:t>
      </w:r>
      <w:r w:rsidR="00EB449D">
        <w:t>The reminder of this section and chapter proceeds to focus on</w:t>
      </w:r>
      <w:r w:rsidR="00BA066E">
        <w:t xml:space="preserve"> </w:t>
      </w:r>
      <w:r>
        <w:t>t</w:t>
      </w:r>
      <w:r w:rsidR="00C77111">
        <w:t>hree</w:t>
      </w:r>
      <w:r>
        <w:t xml:space="preserve"> important enforcement </w:t>
      </w:r>
      <w:r w:rsidR="00F97D98">
        <w:t>strategies</w:t>
      </w:r>
      <w:r>
        <w:t xml:space="preserve">:  (1) enforcement targeting; </w:t>
      </w:r>
      <w:r w:rsidR="00BB02DC">
        <w:t>(2) equitable remedies; a</w:t>
      </w:r>
      <w:r>
        <w:t>nd (</w:t>
      </w:r>
      <w:r w:rsidR="00BB02DC">
        <w:t>3</w:t>
      </w:r>
      <w:r>
        <w:t xml:space="preserve">) </w:t>
      </w:r>
      <w:r w:rsidR="00BA066E">
        <w:t>s</w:t>
      </w:r>
      <w:r>
        <w:t xml:space="preserve">upplemental </w:t>
      </w:r>
      <w:r w:rsidR="00BA066E">
        <w:t>e</w:t>
      </w:r>
      <w:r>
        <w:t xml:space="preserve">nvironmental </w:t>
      </w:r>
      <w:r w:rsidR="00BA066E">
        <w:t>p</w:t>
      </w:r>
      <w:r>
        <w:t>rojects.</w:t>
      </w:r>
    </w:p>
    <w:p w14:paraId="3F26B5AB" w14:textId="77777777" w:rsidR="0070589C" w:rsidRDefault="0070589C" w:rsidP="0070589C">
      <w:pPr>
        <w:pStyle w:val="BodyText"/>
        <w:kinsoku w:val="0"/>
        <w:overflowPunct w:val="0"/>
        <w:ind w:right="897"/>
        <w:jc w:val="both"/>
      </w:pPr>
    </w:p>
    <w:p w14:paraId="4B143E1B" w14:textId="77777777" w:rsidR="0070589C" w:rsidRDefault="0070589C" w:rsidP="0070589C">
      <w:pPr>
        <w:pStyle w:val="BodyText"/>
        <w:kinsoku w:val="0"/>
        <w:overflowPunct w:val="0"/>
        <w:ind w:right="540" w:firstLine="360"/>
        <w:jc w:val="both"/>
      </w:pPr>
      <w:r w:rsidRPr="007538CE">
        <w:rPr>
          <w:b/>
        </w:rPr>
        <w:t>1.  Enforcement Targeting.</w:t>
      </w:r>
      <w:r>
        <w:t xml:space="preserve">  In general, enforcement targeting involves the use of agency discretion to decide where to invest limited enforcement resources.  Priorities for enforcement may include communities overburdened with polluting industries or communities marked by high levels of poverty, linguistic isolation, or other factors associated with environmental injustice.  </w:t>
      </w:r>
    </w:p>
    <w:p w14:paraId="629F7B9B" w14:textId="77777777" w:rsidR="0070589C" w:rsidRDefault="0070589C" w:rsidP="0070589C">
      <w:pPr>
        <w:pStyle w:val="BodyText"/>
        <w:kinsoku w:val="0"/>
        <w:overflowPunct w:val="0"/>
        <w:ind w:right="897" w:firstLine="360"/>
        <w:jc w:val="both"/>
      </w:pPr>
    </w:p>
    <w:p w14:paraId="1B55D56F" w14:textId="77777777" w:rsidR="0070589C" w:rsidRPr="00D842D4" w:rsidRDefault="0070589C" w:rsidP="0070589C">
      <w:pPr>
        <w:pStyle w:val="BodyText"/>
        <w:kinsoku w:val="0"/>
        <w:overflowPunct w:val="0"/>
        <w:ind w:right="897"/>
        <w:jc w:val="center"/>
        <w:rPr>
          <w:b/>
          <w:i/>
          <w:sz w:val="28"/>
          <w:szCs w:val="28"/>
        </w:rPr>
      </w:pPr>
      <w:r w:rsidRPr="00D842D4">
        <w:rPr>
          <w:b/>
          <w:i/>
          <w:sz w:val="28"/>
          <w:szCs w:val="28"/>
        </w:rPr>
        <w:t>Notes and Questions</w:t>
      </w:r>
    </w:p>
    <w:p w14:paraId="46E9BAEC" w14:textId="77777777" w:rsidR="0070589C" w:rsidRDefault="0070589C" w:rsidP="0070589C">
      <w:pPr>
        <w:pStyle w:val="BodyText"/>
        <w:kinsoku w:val="0"/>
        <w:overflowPunct w:val="0"/>
        <w:ind w:right="897"/>
        <w:jc w:val="both"/>
      </w:pPr>
    </w:p>
    <w:p w14:paraId="245E2CD2" w14:textId="099E7AEB" w:rsidR="0070589C" w:rsidRDefault="0070589C" w:rsidP="00367488">
      <w:pPr>
        <w:pStyle w:val="BodyText"/>
        <w:kinsoku w:val="0"/>
        <w:overflowPunct w:val="0"/>
        <w:ind w:right="540"/>
        <w:jc w:val="both"/>
      </w:pPr>
      <w:r>
        <w:tab/>
      </w:r>
      <w:r w:rsidRPr="00D842D4">
        <w:rPr>
          <w:b/>
        </w:rPr>
        <w:t>1.  Return to Richfield.</w:t>
      </w:r>
      <w:r>
        <w:t xml:space="preserve">  This question encourages students to try out EJSCREEN for themselves, which they should be able to do with any laptop computer and internet access.  Richfield, they will discover, is a suburb of the Twin Cities and a fair-sized city in itself with diverse neighborhoods.  As such, that students will actually need a street address, latitude/longitude, or perhaps some distinct landmark in order to identify the specific location of the leaking drums – and thus the demographics of the surrounding community.  If it turns out the drums are located next to a busy playground, or in an industrial area already undergoing cleanup, those factors may be useful in determining whether an enforcement action should be taken and, if so, the urgency of such action.</w:t>
      </w:r>
    </w:p>
    <w:p w14:paraId="4BEA30C1" w14:textId="4C1FD895" w:rsidR="0070589C" w:rsidRDefault="0070589C" w:rsidP="0070589C">
      <w:pPr>
        <w:pStyle w:val="BodyText"/>
        <w:kinsoku w:val="0"/>
        <w:overflowPunct w:val="0"/>
        <w:ind w:right="540"/>
        <w:jc w:val="both"/>
      </w:pPr>
      <w:r>
        <w:tab/>
      </w:r>
      <w:r w:rsidRPr="004A2556">
        <w:rPr>
          <w:b/>
        </w:rPr>
        <w:t>2.  Other targeting tools.</w:t>
      </w:r>
      <w:r>
        <w:t xml:space="preserve">  This note advises students of other important GIS tools beyond EJSCREEN that are available to regulators and the public alike for enforcement targeting purposes or simply learning more about a community.  EPA’s ECHO database, for example, can provide a quick history of enforcement actions against regulated facilities.  Other GIS tools such as Google Earth can provide extraordinary information about almost any place in the world.  Using Google Earth in the classroom, students can look up a regulated facility, view it from both aerial and street-level perspectives, observe the surrounding neighborhood, and even measure distances from the facility to nearby schools, hospitals, playgrounds, residential developments, or other indicators of people who may be impacted by releases from the facility.  </w:t>
      </w:r>
    </w:p>
    <w:p w14:paraId="725D4C5A" w14:textId="77777777" w:rsidR="0070589C" w:rsidRDefault="0070589C" w:rsidP="0070589C">
      <w:pPr>
        <w:pStyle w:val="BodyText"/>
        <w:kinsoku w:val="0"/>
        <w:overflowPunct w:val="0"/>
        <w:ind w:right="897"/>
        <w:jc w:val="both"/>
      </w:pPr>
    </w:p>
    <w:p w14:paraId="7642AE15" w14:textId="033E48D4" w:rsidR="002B57D5" w:rsidRPr="0085053F" w:rsidRDefault="0070589C" w:rsidP="0070589C">
      <w:pPr>
        <w:widowControl/>
        <w:autoSpaceDE/>
        <w:autoSpaceDN/>
        <w:adjustRightInd/>
        <w:ind w:right="540"/>
        <w:jc w:val="both"/>
        <w:rPr>
          <w:bCs/>
          <w:sz w:val="24"/>
          <w:szCs w:val="24"/>
        </w:rPr>
      </w:pPr>
      <w:r>
        <w:tab/>
      </w:r>
      <w:r w:rsidRPr="00795497">
        <w:rPr>
          <w:b/>
          <w:sz w:val="24"/>
          <w:szCs w:val="24"/>
        </w:rPr>
        <w:t xml:space="preserve">2.  </w:t>
      </w:r>
      <w:r w:rsidR="002B57D5">
        <w:rPr>
          <w:b/>
          <w:sz w:val="24"/>
          <w:szCs w:val="24"/>
        </w:rPr>
        <w:t>Equitable Remedies.</w:t>
      </w:r>
      <w:r w:rsidR="0085053F">
        <w:rPr>
          <w:b/>
          <w:sz w:val="24"/>
          <w:szCs w:val="24"/>
        </w:rPr>
        <w:t xml:space="preserve"> </w:t>
      </w:r>
      <w:r w:rsidR="0085053F" w:rsidRPr="0085053F">
        <w:rPr>
          <w:bCs/>
          <w:sz w:val="24"/>
          <w:szCs w:val="24"/>
        </w:rPr>
        <w:t xml:space="preserve">The </w:t>
      </w:r>
      <w:r w:rsidR="0007505E">
        <w:rPr>
          <w:bCs/>
          <w:sz w:val="24"/>
          <w:szCs w:val="24"/>
        </w:rPr>
        <w:t>recent article by Prof. Sara Colangelo of Georgetown</w:t>
      </w:r>
      <w:r w:rsidR="006071FA">
        <w:rPr>
          <w:bCs/>
          <w:sz w:val="24"/>
          <w:szCs w:val="24"/>
        </w:rPr>
        <w:t xml:space="preserve"> describes the longstanding</w:t>
      </w:r>
      <w:r w:rsidR="00127371">
        <w:rPr>
          <w:bCs/>
          <w:sz w:val="24"/>
          <w:szCs w:val="24"/>
        </w:rPr>
        <w:t xml:space="preserve"> embrace of equitable remedies by</w:t>
      </w:r>
      <w:r w:rsidR="00F72012">
        <w:rPr>
          <w:bCs/>
          <w:sz w:val="24"/>
          <w:szCs w:val="24"/>
        </w:rPr>
        <w:t xml:space="preserve"> federal courts in the United States and why this equitable authority should extend </w:t>
      </w:r>
      <w:r w:rsidR="00690C60">
        <w:rPr>
          <w:bCs/>
          <w:sz w:val="24"/>
          <w:szCs w:val="24"/>
        </w:rPr>
        <w:t xml:space="preserve">to violations of federal environmental laws including the Clean Air Act and Clean Water Act.  </w:t>
      </w:r>
    </w:p>
    <w:p w14:paraId="71CAA7C6" w14:textId="77777777" w:rsidR="002B57D5" w:rsidRDefault="002B57D5" w:rsidP="0070589C">
      <w:pPr>
        <w:widowControl/>
        <w:autoSpaceDE/>
        <w:autoSpaceDN/>
        <w:adjustRightInd/>
        <w:ind w:right="540"/>
        <w:jc w:val="both"/>
        <w:rPr>
          <w:b/>
          <w:sz w:val="24"/>
          <w:szCs w:val="24"/>
        </w:rPr>
      </w:pPr>
    </w:p>
    <w:p w14:paraId="2E6334C7" w14:textId="77777777" w:rsidR="00E7564B" w:rsidRPr="00D842D4" w:rsidRDefault="00E7564B" w:rsidP="00E7564B">
      <w:pPr>
        <w:pStyle w:val="BodyText"/>
        <w:kinsoku w:val="0"/>
        <w:overflowPunct w:val="0"/>
        <w:ind w:right="897"/>
        <w:jc w:val="center"/>
        <w:rPr>
          <w:b/>
          <w:i/>
          <w:sz w:val="28"/>
          <w:szCs w:val="28"/>
        </w:rPr>
      </w:pPr>
      <w:r w:rsidRPr="00D842D4">
        <w:rPr>
          <w:b/>
          <w:i/>
          <w:sz w:val="28"/>
          <w:szCs w:val="28"/>
        </w:rPr>
        <w:t>Notes and Questions</w:t>
      </w:r>
    </w:p>
    <w:p w14:paraId="341A628F" w14:textId="77777777" w:rsidR="00E7564B" w:rsidRDefault="00E7564B" w:rsidP="00E7564B">
      <w:pPr>
        <w:pStyle w:val="BodyText"/>
        <w:kinsoku w:val="0"/>
        <w:overflowPunct w:val="0"/>
        <w:ind w:right="540"/>
        <w:jc w:val="both"/>
        <w:rPr>
          <w:b/>
        </w:rPr>
      </w:pPr>
    </w:p>
    <w:p w14:paraId="6AE8A23C" w14:textId="127AF240" w:rsidR="00E7564B" w:rsidRDefault="00E7564B" w:rsidP="00E7564B">
      <w:pPr>
        <w:pStyle w:val="BodyText"/>
        <w:kinsoku w:val="0"/>
        <w:overflowPunct w:val="0"/>
        <w:ind w:right="540" w:firstLine="720"/>
        <w:jc w:val="both"/>
      </w:pPr>
      <w:r w:rsidRPr="00D842D4">
        <w:rPr>
          <w:b/>
        </w:rPr>
        <w:t xml:space="preserve">1.  </w:t>
      </w:r>
      <w:r>
        <w:rPr>
          <w:b/>
        </w:rPr>
        <w:t xml:space="preserve">The </w:t>
      </w:r>
      <w:r w:rsidRPr="00E7564B">
        <w:rPr>
          <w:b/>
          <w:i/>
          <w:iCs/>
        </w:rPr>
        <w:t>Volkswagen</w:t>
      </w:r>
      <w:r>
        <w:rPr>
          <w:b/>
        </w:rPr>
        <w:t xml:space="preserve"> settlement</w:t>
      </w:r>
      <w:r w:rsidRPr="00D842D4">
        <w:rPr>
          <w:b/>
        </w:rPr>
        <w:t>.</w:t>
      </w:r>
      <w:r>
        <w:t xml:space="preserve">  Thi</w:t>
      </w:r>
      <w:r w:rsidR="008111D5">
        <w:t>s note provides a sterling example of the power of equitable remedies.  The Volkswagen mitigation trust, responding to outrageous</w:t>
      </w:r>
      <w:r w:rsidR="000A06F4">
        <w:t xml:space="preserve">, criminal </w:t>
      </w:r>
      <w:r w:rsidR="008111D5">
        <w:t xml:space="preserve">conduct </w:t>
      </w:r>
      <w:r w:rsidR="000A06F4">
        <w:t>by Volkswagen executives,</w:t>
      </w:r>
      <w:r w:rsidR="008111D5">
        <w:t xml:space="preserve"> has </w:t>
      </w:r>
      <w:r w:rsidR="000A06F4">
        <w:t xml:space="preserve">now </w:t>
      </w:r>
      <w:r w:rsidR="008111D5">
        <w:t xml:space="preserve">funded </w:t>
      </w:r>
      <w:r w:rsidR="000A06F4">
        <w:t>mitigation projects in every state</w:t>
      </w:r>
      <w:r w:rsidR="00A64A00">
        <w:t>, many helping to benefit underserved communities</w:t>
      </w:r>
      <w:r w:rsidR="000A06F4">
        <w:t xml:space="preserve">.  </w:t>
      </w:r>
      <w:r w:rsidR="00A64A00">
        <w:t xml:space="preserve">Instructors might look for </w:t>
      </w:r>
      <w:r w:rsidR="00B96507">
        <w:t xml:space="preserve">funded projects in </w:t>
      </w:r>
      <w:r w:rsidR="00B96507">
        <w:lastRenderedPageBreak/>
        <w:t>their state or review projects in other states that might be appropriate for funding</w:t>
      </w:r>
      <w:r w:rsidR="00AB09D9">
        <w:t xml:space="preserve"> closer to home.  </w:t>
      </w:r>
    </w:p>
    <w:p w14:paraId="6CB672E9" w14:textId="732B7AB7" w:rsidR="00E7564B" w:rsidRDefault="00E7564B" w:rsidP="00E7564B">
      <w:pPr>
        <w:widowControl/>
        <w:autoSpaceDE/>
        <w:autoSpaceDN/>
        <w:adjustRightInd/>
        <w:ind w:right="540"/>
        <w:jc w:val="both"/>
      </w:pPr>
      <w:r>
        <w:tab/>
      </w:r>
      <w:r w:rsidRPr="004A2556">
        <w:rPr>
          <w:b/>
        </w:rPr>
        <w:t xml:space="preserve">2.  </w:t>
      </w:r>
      <w:r w:rsidR="00856FD2">
        <w:rPr>
          <w:b/>
        </w:rPr>
        <w:t>Restitution vs. mitigation</w:t>
      </w:r>
      <w:r w:rsidRPr="004A2556">
        <w:rPr>
          <w:b/>
        </w:rPr>
        <w:t>.</w:t>
      </w:r>
      <w:r>
        <w:t xml:space="preserve">  </w:t>
      </w:r>
      <w:r w:rsidR="00643136">
        <w:t xml:space="preserve">In general, mitigation focuses on remedying the impacts </w:t>
      </w:r>
      <w:r w:rsidR="007A2522">
        <w:t xml:space="preserve">of </w:t>
      </w:r>
      <w:r w:rsidR="002872B6">
        <w:t xml:space="preserve">a </w:t>
      </w:r>
      <w:r w:rsidR="007A2522">
        <w:t>violation and/or</w:t>
      </w:r>
      <w:r w:rsidR="007811F7">
        <w:t xml:space="preserve"> preventing fu</w:t>
      </w:r>
      <w:r w:rsidR="002872B6">
        <w:t xml:space="preserve">ture </w:t>
      </w:r>
      <w:r w:rsidR="007811F7">
        <w:t xml:space="preserve">violations.  Both </w:t>
      </w:r>
      <w:r w:rsidR="002872B6">
        <w:t xml:space="preserve">purposes </w:t>
      </w:r>
      <w:r w:rsidR="00755898">
        <w:t xml:space="preserve">of mitigation </w:t>
      </w:r>
      <w:r w:rsidR="002872B6">
        <w:t xml:space="preserve">are exemplified </w:t>
      </w:r>
      <w:r w:rsidR="00755898">
        <w:t xml:space="preserve">in note 5 discussing mitigation and East Palestine.  By comparison, </w:t>
      </w:r>
      <w:r w:rsidR="00BA4D02">
        <w:t>restitution usually focuses on a direct financial loss suffered by an identifiable victim of a violation. Courts in equity may award restitution for both civil and criminal violations</w:t>
      </w:r>
      <w:r w:rsidR="004D7F03">
        <w:t xml:space="preserve">.  However, most violations of the environmental statutes such as the Clean Air Act and Clean Water Act do not involve identifiable victims </w:t>
      </w:r>
      <w:r w:rsidR="00FB3BA5">
        <w:t xml:space="preserve">with discrete financial losses.  </w:t>
      </w:r>
      <w:r w:rsidR="00EF7761">
        <w:t xml:space="preserve">Rather, </w:t>
      </w:r>
      <w:r w:rsidR="003648B5">
        <w:t xml:space="preserve">impacts from environmental violations are typically experienced broadly by </w:t>
      </w:r>
      <w:r w:rsidR="00CC594F">
        <w:t xml:space="preserve">a community or an airshed.  </w:t>
      </w:r>
      <w:r w:rsidR="0063139C">
        <w:t xml:space="preserve">For such disperse impacts, mitigation awards or supplemental environmental projects </w:t>
      </w:r>
      <w:r w:rsidR="00D41951">
        <w:t xml:space="preserve">may provide some appropriate relief.  </w:t>
      </w:r>
      <w:r w:rsidR="008C7406">
        <w:t xml:space="preserve">For individual </w:t>
      </w:r>
      <w:r w:rsidR="006C61F0">
        <w:t>victims of civil violations, private tort action</w:t>
      </w:r>
      <w:r w:rsidR="00D41951">
        <w:t>s</w:t>
      </w:r>
      <w:r w:rsidR="006C61F0">
        <w:t xml:space="preserve"> may provide some remedy.  </w:t>
      </w:r>
    </w:p>
    <w:p w14:paraId="7DCC7FED" w14:textId="097A50F2" w:rsidR="0003402E" w:rsidRDefault="0003402E" w:rsidP="00E7564B">
      <w:pPr>
        <w:widowControl/>
        <w:autoSpaceDE/>
        <w:autoSpaceDN/>
        <w:adjustRightInd/>
        <w:ind w:right="540"/>
        <w:jc w:val="both"/>
      </w:pPr>
      <w:r>
        <w:tab/>
      </w:r>
      <w:r w:rsidRPr="009944F2">
        <w:rPr>
          <w:b/>
          <w:bCs/>
        </w:rPr>
        <w:t>3.  Mitigation and RCRA.</w:t>
      </w:r>
      <w:r>
        <w:t xml:space="preserve">  </w:t>
      </w:r>
      <w:r w:rsidR="00991C4D">
        <w:t xml:space="preserve">While </w:t>
      </w:r>
      <w:r w:rsidR="00A87C12">
        <w:t xml:space="preserve">mitigation may not be </w:t>
      </w:r>
      <w:r w:rsidR="0086518C">
        <w:t>broadly available under RCRA for recovery of cleanup costs, RCRA can support injunctive relief requiring cleanup of contaminated sites.</w:t>
      </w:r>
      <w:r w:rsidR="008E08A5">
        <w:t xml:space="preserve">  This </w:t>
      </w:r>
      <w:r w:rsidR="007422EA">
        <w:t xml:space="preserve">federal </w:t>
      </w:r>
      <w:r w:rsidR="009944F2">
        <w:t>authority</w:t>
      </w:r>
      <w:r w:rsidR="00CD33F1">
        <w:t xml:space="preserve"> might be used, for example, to require cleanup of sites impacted by pe</w:t>
      </w:r>
      <w:r w:rsidR="00E20E2D">
        <w:t>troleum contamination that cannot be reached under CERCL</w:t>
      </w:r>
      <w:r w:rsidR="00C924F9">
        <w:t xml:space="preserve">A.  Kirtland Air Force Base in Albuquerque, New Mexico, is one such site, </w:t>
      </w:r>
      <w:r w:rsidR="004E317D">
        <w:t xml:space="preserve">where </w:t>
      </w:r>
      <w:r w:rsidR="00BE21E2">
        <w:t xml:space="preserve">jet fuel leaked from </w:t>
      </w:r>
      <w:r w:rsidR="001701FA">
        <w:t xml:space="preserve">massive </w:t>
      </w:r>
      <w:r w:rsidR="00BE21E2">
        <w:t xml:space="preserve">storage tanks for decades, contaminating soil and groundwater, with </w:t>
      </w:r>
      <w:r w:rsidR="001701FA">
        <w:t xml:space="preserve">assessment and cleanup now </w:t>
      </w:r>
      <w:r w:rsidR="009261A8">
        <w:t xml:space="preserve">proceeding under RCRA.  See </w:t>
      </w:r>
      <w:hyperlink r:id="rId31" w:history="1">
        <w:r w:rsidR="009261A8" w:rsidRPr="00497A9F">
          <w:rPr>
            <w:rStyle w:val="Hyperlink"/>
          </w:rPr>
          <w:t>https://www.kirtland.af.mil/Home/Environment/Bulk-Fuels-Facility/</w:t>
        </w:r>
      </w:hyperlink>
      <w:r w:rsidR="009261A8">
        <w:t xml:space="preserve"> For contamination from neighborhood gas stations, </w:t>
      </w:r>
      <w:r w:rsidR="00BC4B16">
        <w:t xml:space="preserve">cleanup often proceeds pursuant to state law and voluntary cleanup agreements.  </w:t>
      </w:r>
    </w:p>
    <w:p w14:paraId="54E28504" w14:textId="30FD58F8" w:rsidR="00B937E6" w:rsidRDefault="00B937E6" w:rsidP="00E7564B">
      <w:pPr>
        <w:widowControl/>
        <w:autoSpaceDE/>
        <w:autoSpaceDN/>
        <w:adjustRightInd/>
        <w:ind w:right="540"/>
        <w:jc w:val="both"/>
      </w:pPr>
      <w:r>
        <w:tab/>
      </w:r>
      <w:r w:rsidR="00A939AC" w:rsidRPr="00A939AC">
        <w:rPr>
          <w:b/>
          <w:bCs/>
        </w:rPr>
        <w:t>4.</w:t>
      </w:r>
      <w:r w:rsidRPr="00A939AC">
        <w:rPr>
          <w:b/>
          <w:bCs/>
        </w:rPr>
        <w:t xml:space="preserve">  Mitigation policies.</w:t>
      </w:r>
      <w:r>
        <w:t xml:space="preserve">  </w:t>
      </w:r>
      <w:r w:rsidR="00A939AC">
        <w:t>This note is self-explanatory.</w:t>
      </w:r>
    </w:p>
    <w:p w14:paraId="1114987C" w14:textId="7241592D" w:rsidR="00A939AC" w:rsidRDefault="00A939AC" w:rsidP="00E7564B">
      <w:pPr>
        <w:widowControl/>
        <w:autoSpaceDE/>
        <w:autoSpaceDN/>
        <w:adjustRightInd/>
        <w:ind w:right="540"/>
        <w:jc w:val="both"/>
      </w:pPr>
      <w:r>
        <w:tab/>
      </w:r>
      <w:r w:rsidRPr="00A939AC">
        <w:rPr>
          <w:b/>
          <w:bCs/>
        </w:rPr>
        <w:t>5.  Mitigation and East Palestine.</w:t>
      </w:r>
      <w:r>
        <w:t xml:space="preserve">  </w:t>
      </w:r>
      <w:r w:rsidR="00670339">
        <w:t>This note illustrates the potential benefits of mitigation for purposes of both remedying</w:t>
      </w:r>
      <w:r w:rsidR="008B69A9">
        <w:t xml:space="preserve"> the impacts of past violations and </w:t>
      </w:r>
      <w:r w:rsidR="00670339">
        <w:t>preventing future violations</w:t>
      </w:r>
      <w:r w:rsidR="008B69A9">
        <w:t xml:space="preserve">.  </w:t>
      </w:r>
      <w:r w:rsidR="009543C9">
        <w:t>Note, however, the distinct lack of enthusiasm by U.S. DOJ in</w:t>
      </w:r>
      <w:r w:rsidR="00670339">
        <w:t xml:space="preserve"> </w:t>
      </w:r>
      <w:r w:rsidR="009543C9">
        <w:t>supporting the negotiated settlement</w:t>
      </w:r>
      <w:r w:rsidR="009B392D">
        <w:t xml:space="preserve">, questioning </w:t>
      </w:r>
      <w:r w:rsidR="00247BD8">
        <w:t xml:space="preserve">the </w:t>
      </w:r>
      <w:r w:rsidR="00A06D9A">
        <w:t xml:space="preserve">mitigative </w:t>
      </w:r>
      <w:r w:rsidR="00247BD8">
        <w:t xml:space="preserve">reach of </w:t>
      </w:r>
      <w:r w:rsidR="00A06D9A">
        <w:t xml:space="preserve">the Clean Water Act and CERCLA.  As </w:t>
      </w:r>
      <w:r w:rsidR="00DD21FC">
        <w:t xml:space="preserve">of September 2025, the </w:t>
      </w:r>
      <w:r w:rsidR="005479C3">
        <w:t>court still has not approved the proposed consent decree that was filed in October 202</w:t>
      </w:r>
      <w:r w:rsidR="005A3F5F">
        <w:t>4, which suggests that instructors may want to check for updates</w:t>
      </w:r>
      <w:r w:rsidR="00CE3E72">
        <w:t xml:space="preserve"> on this case.</w:t>
      </w:r>
    </w:p>
    <w:p w14:paraId="5935968E" w14:textId="77777777" w:rsidR="002B57D5" w:rsidRDefault="002B57D5" w:rsidP="0070589C">
      <w:pPr>
        <w:widowControl/>
        <w:autoSpaceDE/>
        <w:autoSpaceDN/>
        <w:adjustRightInd/>
        <w:ind w:right="540"/>
        <w:jc w:val="both"/>
        <w:rPr>
          <w:b/>
          <w:sz w:val="24"/>
          <w:szCs w:val="24"/>
        </w:rPr>
      </w:pPr>
    </w:p>
    <w:p w14:paraId="00471CA6" w14:textId="5D8BAB68" w:rsidR="0070589C" w:rsidRPr="00795497" w:rsidRDefault="002B57D5" w:rsidP="002B57D5">
      <w:pPr>
        <w:widowControl/>
        <w:autoSpaceDE/>
        <w:autoSpaceDN/>
        <w:adjustRightInd/>
        <w:ind w:right="540" w:firstLine="720"/>
        <w:jc w:val="both"/>
        <w:rPr>
          <w:rFonts w:eastAsia="Times New Roman"/>
        </w:rPr>
      </w:pPr>
      <w:r>
        <w:rPr>
          <w:b/>
          <w:sz w:val="24"/>
          <w:szCs w:val="24"/>
        </w:rPr>
        <w:t xml:space="preserve">3.  </w:t>
      </w:r>
      <w:r w:rsidR="0070589C" w:rsidRPr="00795497">
        <w:rPr>
          <w:b/>
          <w:sz w:val="24"/>
          <w:szCs w:val="24"/>
        </w:rPr>
        <w:t>Supplemental Environmental Projects.</w:t>
      </w:r>
      <w:r w:rsidR="0070589C" w:rsidRPr="00795497">
        <w:rPr>
          <w:sz w:val="24"/>
          <w:szCs w:val="24"/>
        </w:rPr>
        <w:t xml:space="preserve">  As indicated in this section, SEPs hold tremendous potential for advancement of environmental justice, directly benefiting the communities impacted by environmental violations.  Political conservatives, however, and especially the Trump </w:t>
      </w:r>
      <w:r w:rsidR="00CE3E72">
        <w:rPr>
          <w:sz w:val="24"/>
          <w:szCs w:val="24"/>
        </w:rPr>
        <w:t>a</w:t>
      </w:r>
      <w:r w:rsidR="0070589C" w:rsidRPr="00795497">
        <w:rPr>
          <w:sz w:val="24"/>
          <w:szCs w:val="24"/>
        </w:rPr>
        <w:t>dministration, have become increasingly hostile towards SEPs.  In 20</w:t>
      </w:r>
      <w:r w:rsidR="00007AFD">
        <w:rPr>
          <w:sz w:val="24"/>
          <w:szCs w:val="24"/>
        </w:rPr>
        <w:t>20</w:t>
      </w:r>
      <w:r w:rsidR="0070589C" w:rsidRPr="00795497">
        <w:rPr>
          <w:sz w:val="24"/>
          <w:szCs w:val="24"/>
        </w:rPr>
        <w:t>, for example, the DOJ Environment and Natural Resources Division issued a memo effectively barring the use of SEPs in civil settlements with private defendants.</w:t>
      </w:r>
      <w:r w:rsidR="0070589C">
        <w:rPr>
          <w:sz w:val="24"/>
          <w:szCs w:val="24"/>
        </w:rPr>
        <w:t xml:space="preserve"> </w:t>
      </w:r>
      <w:r w:rsidR="0070589C" w:rsidRPr="00795497">
        <w:rPr>
          <w:sz w:val="24"/>
          <w:szCs w:val="24"/>
        </w:rPr>
        <w:t xml:space="preserve"> </w:t>
      </w:r>
      <w:r w:rsidR="0070589C" w:rsidRPr="00795497">
        <w:rPr>
          <w:i/>
          <w:iCs/>
          <w:sz w:val="24"/>
          <w:szCs w:val="24"/>
        </w:rPr>
        <w:t>Supplemental</w:t>
      </w:r>
      <w:r w:rsidR="0070589C" w:rsidRPr="00607EFF">
        <w:rPr>
          <w:i/>
          <w:iCs/>
          <w:sz w:val="24"/>
          <w:szCs w:val="24"/>
        </w:rPr>
        <w:t xml:space="preserve"> </w:t>
      </w:r>
      <w:r w:rsidR="0070589C" w:rsidRPr="00795497">
        <w:rPr>
          <w:i/>
          <w:iCs/>
          <w:sz w:val="24"/>
          <w:szCs w:val="24"/>
        </w:rPr>
        <w:t>Environmental Projects (“SEPs</w:t>
      </w:r>
      <w:r w:rsidR="0070589C" w:rsidRPr="007D1C3A">
        <w:rPr>
          <w:i/>
          <w:iCs/>
          <w:sz w:val="24"/>
          <w:szCs w:val="24"/>
        </w:rPr>
        <w:t>”) in Civil Settlements with Private Defendants</w:t>
      </w:r>
      <w:r w:rsidR="009163FE" w:rsidRPr="007D1C3A">
        <w:rPr>
          <w:sz w:val="24"/>
          <w:szCs w:val="24"/>
        </w:rPr>
        <w:t xml:space="preserve"> </w:t>
      </w:r>
      <w:r w:rsidR="0070589C" w:rsidRPr="007D1C3A">
        <w:rPr>
          <w:sz w:val="24"/>
          <w:szCs w:val="24"/>
        </w:rPr>
        <w:t>(June 3, 2020</w:t>
      </w:r>
      <w:r w:rsidR="00CD0012" w:rsidRPr="007D1C3A">
        <w:rPr>
          <w:sz w:val="24"/>
          <w:szCs w:val="24"/>
        </w:rPr>
        <w:t xml:space="preserve">. </w:t>
      </w:r>
      <w:r w:rsidR="0070589C" w:rsidRPr="007D1C3A">
        <w:rPr>
          <w:sz w:val="24"/>
          <w:szCs w:val="24"/>
        </w:rPr>
        <w:t xml:space="preserve"> </w:t>
      </w:r>
      <w:r w:rsidR="00CD0012" w:rsidRPr="007D1C3A">
        <w:rPr>
          <w:sz w:val="24"/>
          <w:szCs w:val="24"/>
        </w:rPr>
        <w:t xml:space="preserve">And again </w:t>
      </w:r>
      <w:r w:rsidR="009321E2" w:rsidRPr="007D1C3A">
        <w:rPr>
          <w:sz w:val="24"/>
          <w:szCs w:val="24"/>
        </w:rPr>
        <w:t xml:space="preserve">during the second Trump administration, </w:t>
      </w:r>
      <w:r w:rsidR="00CD0012" w:rsidRPr="007D1C3A">
        <w:rPr>
          <w:sz w:val="24"/>
          <w:szCs w:val="24"/>
        </w:rPr>
        <w:t xml:space="preserve">on February 5, 2025, the Attorney General </w:t>
      </w:r>
      <w:r w:rsidR="009321E2" w:rsidRPr="007D1C3A">
        <w:rPr>
          <w:sz w:val="24"/>
          <w:szCs w:val="24"/>
        </w:rPr>
        <w:t xml:space="preserve">issued a memorandum, </w:t>
      </w:r>
      <w:r w:rsidR="009321E2" w:rsidRPr="007D1C3A">
        <w:rPr>
          <w:i/>
          <w:iCs/>
          <w:sz w:val="24"/>
          <w:szCs w:val="24"/>
        </w:rPr>
        <w:t>Reinstating the Prohibition on Improper Third-Party Settlements</w:t>
      </w:r>
      <w:r w:rsidR="009321E2" w:rsidRPr="007D1C3A">
        <w:rPr>
          <w:sz w:val="24"/>
          <w:szCs w:val="24"/>
        </w:rPr>
        <w:t xml:space="preserve">, effectively barring SEPs in civil settlements.  </w:t>
      </w:r>
      <w:r w:rsidR="0070589C" w:rsidRPr="007D1C3A">
        <w:rPr>
          <w:sz w:val="24"/>
          <w:szCs w:val="24"/>
        </w:rPr>
        <w:t>If there is any legal basis for this hostility, it may stem from longstanding concerns about separation</w:t>
      </w:r>
      <w:r w:rsidR="0070589C" w:rsidRPr="00795497">
        <w:rPr>
          <w:sz w:val="24"/>
          <w:szCs w:val="24"/>
        </w:rPr>
        <w:t xml:space="preserve"> of powers (e.g., SEPs theoretically circumventing Congress’s power of appropriations).  Those concerns (however legitimate or illegitimate) were acknowledged and addressed decades ago through the elaborate provisions of EPA’s SEP policy, which has been amended over time but remains in place, notwithstanding DOJ’s objections.  </w:t>
      </w:r>
    </w:p>
    <w:p w14:paraId="4322BAD6" w14:textId="77777777" w:rsidR="0070589C" w:rsidRPr="00795497" w:rsidRDefault="0070589C" w:rsidP="0070589C">
      <w:pPr>
        <w:pStyle w:val="BodyText"/>
        <w:kinsoku w:val="0"/>
        <w:overflowPunct w:val="0"/>
        <w:ind w:right="897"/>
        <w:jc w:val="both"/>
        <w:rPr>
          <w:sz w:val="28"/>
          <w:szCs w:val="28"/>
        </w:rPr>
      </w:pPr>
    </w:p>
    <w:p w14:paraId="266675DE" w14:textId="77777777" w:rsidR="0070589C" w:rsidRDefault="0070589C" w:rsidP="0070589C">
      <w:pPr>
        <w:pStyle w:val="BodyText"/>
        <w:kinsoku w:val="0"/>
        <w:overflowPunct w:val="0"/>
        <w:ind w:right="540"/>
        <w:jc w:val="both"/>
      </w:pPr>
      <w:r>
        <w:tab/>
        <w:t xml:space="preserve">The excerpt from Patrice Simms does an excellent job of both establishing the potential use of SEPs for promoting environmental justice and explaining the elaborate SEP procedures.  As noted by Simms, a key challenge remains how EJ advocates outside of </w:t>
      </w:r>
      <w:r>
        <w:lastRenderedPageBreak/>
        <w:t>government may learn of opportunities for SEPs and engage in any process to help define SEP projects for their own communities.</w:t>
      </w:r>
    </w:p>
    <w:p w14:paraId="43C48A82" w14:textId="77777777" w:rsidR="0070589C" w:rsidRDefault="0070589C" w:rsidP="0070589C">
      <w:pPr>
        <w:pStyle w:val="BodyText"/>
        <w:kinsoku w:val="0"/>
        <w:overflowPunct w:val="0"/>
        <w:ind w:right="897"/>
        <w:jc w:val="both"/>
      </w:pPr>
    </w:p>
    <w:p w14:paraId="6602744B" w14:textId="77777777" w:rsidR="0070589C" w:rsidRPr="00196806" w:rsidRDefault="0070589C" w:rsidP="0070589C">
      <w:pPr>
        <w:pStyle w:val="BodyText"/>
        <w:kinsoku w:val="0"/>
        <w:overflowPunct w:val="0"/>
        <w:ind w:right="897"/>
        <w:jc w:val="center"/>
        <w:rPr>
          <w:b/>
          <w:i/>
          <w:sz w:val="28"/>
          <w:szCs w:val="28"/>
        </w:rPr>
      </w:pPr>
      <w:r w:rsidRPr="00196806">
        <w:rPr>
          <w:b/>
          <w:i/>
          <w:sz w:val="28"/>
          <w:szCs w:val="28"/>
        </w:rPr>
        <w:t>Notes and Questions</w:t>
      </w:r>
    </w:p>
    <w:p w14:paraId="07343DA3" w14:textId="77777777" w:rsidR="0070589C" w:rsidRDefault="0070589C" w:rsidP="0070589C">
      <w:pPr>
        <w:pStyle w:val="BodyText"/>
        <w:kinsoku w:val="0"/>
        <w:overflowPunct w:val="0"/>
        <w:ind w:right="897"/>
        <w:jc w:val="both"/>
      </w:pPr>
    </w:p>
    <w:p w14:paraId="7A2D4844" w14:textId="08FBD031" w:rsidR="0070589C" w:rsidRDefault="0070589C" w:rsidP="0070589C">
      <w:pPr>
        <w:pStyle w:val="BodyText"/>
        <w:kinsoku w:val="0"/>
        <w:overflowPunct w:val="0"/>
        <w:ind w:right="540" w:firstLine="720"/>
        <w:jc w:val="both"/>
      </w:pPr>
      <w:r w:rsidRPr="00196806">
        <w:rPr>
          <w:b/>
        </w:rPr>
        <w:t xml:space="preserve">1.  SEP </w:t>
      </w:r>
      <w:r w:rsidR="007C78A7">
        <w:rPr>
          <w:b/>
        </w:rPr>
        <w:t>p</w:t>
      </w:r>
      <w:r w:rsidRPr="00196806">
        <w:rPr>
          <w:b/>
        </w:rPr>
        <w:t>olicy.</w:t>
      </w:r>
      <w:r>
        <w:t xml:space="preserve">  This short note is self-explanatory but a reminder that practitioners should always be certain to apply the latest version of the EPA’s SEP policy.  </w:t>
      </w:r>
      <w:r w:rsidR="00390B44">
        <w:t xml:space="preserve">Because the </w:t>
      </w:r>
      <w:r w:rsidR="004906BC">
        <w:t xml:space="preserve">EPA SEP </w:t>
      </w:r>
      <w:r w:rsidR="00390B44">
        <w:t>policy is not a rule subject to APA rulemaking procedures, i</w:t>
      </w:r>
      <w:r>
        <w:t>t is possible that the</w:t>
      </w:r>
      <w:r w:rsidR="0060037E">
        <w:t xml:space="preserve"> second</w:t>
      </w:r>
      <w:r>
        <w:t xml:space="preserve"> Trump </w:t>
      </w:r>
      <w:r w:rsidR="0060037E">
        <w:t>a</w:t>
      </w:r>
      <w:r>
        <w:t xml:space="preserve">dministration will amend or withdraw the EPA SEP policy </w:t>
      </w:r>
      <w:r w:rsidR="0060037E">
        <w:t>at any time</w:t>
      </w:r>
      <w:r>
        <w:t>.</w:t>
      </w:r>
      <w:r w:rsidR="0060037E">
        <w:t xml:space="preserve">  </w:t>
      </w:r>
    </w:p>
    <w:p w14:paraId="363A3F6E" w14:textId="77777777" w:rsidR="0070589C" w:rsidRDefault="0070589C" w:rsidP="0070589C">
      <w:pPr>
        <w:pStyle w:val="BodyText"/>
        <w:kinsoku w:val="0"/>
        <w:overflowPunct w:val="0"/>
        <w:ind w:right="897" w:firstLine="720"/>
        <w:jc w:val="both"/>
      </w:pPr>
    </w:p>
    <w:p w14:paraId="73A039FF" w14:textId="547EA7CB" w:rsidR="0070589C" w:rsidRDefault="0070589C" w:rsidP="0070589C">
      <w:pPr>
        <w:pStyle w:val="BodyText"/>
        <w:kinsoku w:val="0"/>
        <w:overflowPunct w:val="0"/>
        <w:ind w:right="540" w:firstLine="720"/>
        <w:jc w:val="both"/>
      </w:pPr>
      <w:r w:rsidRPr="008F0DBB">
        <w:rPr>
          <w:b/>
        </w:rPr>
        <w:t>2.  Nexus.</w:t>
      </w:r>
      <w:r>
        <w:t xml:space="preserve">  The note is self-explanatory, elaborating upon one particular requirement for SEPs under the EPA SEP policy, a</w:t>
      </w:r>
      <w:r w:rsidR="00E93724">
        <w:t xml:space="preserve">s </w:t>
      </w:r>
      <w:r>
        <w:t>amended</w:t>
      </w:r>
      <w:r w:rsidR="00E93724">
        <w:t xml:space="preserve"> in 2015</w:t>
      </w:r>
      <w:r>
        <w:t>.</w:t>
      </w:r>
    </w:p>
    <w:p w14:paraId="64DDE013" w14:textId="77777777" w:rsidR="0070589C" w:rsidRDefault="0070589C" w:rsidP="0070589C">
      <w:pPr>
        <w:pStyle w:val="BodyText"/>
        <w:kinsoku w:val="0"/>
        <w:overflowPunct w:val="0"/>
        <w:ind w:right="897" w:firstLine="720"/>
        <w:jc w:val="both"/>
      </w:pPr>
    </w:p>
    <w:p w14:paraId="2EEA1D3C" w14:textId="13283B25" w:rsidR="0070589C" w:rsidRDefault="0070589C" w:rsidP="0070589C">
      <w:pPr>
        <w:pStyle w:val="BodyText"/>
        <w:kinsoku w:val="0"/>
        <w:overflowPunct w:val="0"/>
        <w:ind w:right="540" w:firstLine="720"/>
        <w:jc w:val="both"/>
      </w:pPr>
      <w:r w:rsidRPr="008F0DBB">
        <w:rPr>
          <w:b/>
        </w:rPr>
        <w:t>3.  Categories.</w:t>
      </w:r>
      <w:r>
        <w:t xml:space="preserve">  The note is mostly self-explanatory, identifying the seven categories of SEPs and also providing examples of specific SEPs approved and implemented in the past.   </w:t>
      </w:r>
    </w:p>
    <w:p w14:paraId="66704296" w14:textId="77777777" w:rsidR="0070589C" w:rsidRDefault="0070589C" w:rsidP="0070589C">
      <w:pPr>
        <w:pStyle w:val="BodyText"/>
        <w:kinsoku w:val="0"/>
        <w:overflowPunct w:val="0"/>
        <w:ind w:right="897" w:firstLine="720"/>
        <w:jc w:val="both"/>
      </w:pPr>
    </w:p>
    <w:p w14:paraId="136D84A2" w14:textId="7F89550E" w:rsidR="00F178D0" w:rsidRPr="00F178D0" w:rsidRDefault="0070589C" w:rsidP="0070589C">
      <w:pPr>
        <w:pStyle w:val="BodyText"/>
        <w:kinsoku w:val="0"/>
        <w:overflowPunct w:val="0"/>
        <w:ind w:right="540" w:firstLine="720"/>
        <w:jc w:val="both"/>
        <w:rPr>
          <w:bCs/>
        </w:rPr>
      </w:pPr>
      <w:r>
        <w:rPr>
          <w:b/>
        </w:rPr>
        <w:t xml:space="preserve">4. </w:t>
      </w:r>
      <w:r w:rsidR="00F178D0">
        <w:rPr>
          <w:b/>
        </w:rPr>
        <w:t xml:space="preserve">SEPs and mitigation.   </w:t>
      </w:r>
      <w:r w:rsidR="00F178D0" w:rsidRPr="00F178D0">
        <w:rPr>
          <w:bCs/>
        </w:rPr>
        <w:t>Questions in this note are asked and answered.</w:t>
      </w:r>
    </w:p>
    <w:p w14:paraId="1C3584BF" w14:textId="77777777" w:rsidR="00F178D0" w:rsidRDefault="00F178D0" w:rsidP="0070589C">
      <w:pPr>
        <w:pStyle w:val="BodyText"/>
        <w:kinsoku w:val="0"/>
        <w:overflowPunct w:val="0"/>
        <w:ind w:right="540" w:firstLine="720"/>
        <w:jc w:val="both"/>
        <w:rPr>
          <w:b/>
        </w:rPr>
      </w:pPr>
    </w:p>
    <w:p w14:paraId="7BB772BE" w14:textId="71878737" w:rsidR="0070589C" w:rsidRDefault="00F178D0" w:rsidP="0070589C">
      <w:pPr>
        <w:pStyle w:val="BodyText"/>
        <w:kinsoku w:val="0"/>
        <w:overflowPunct w:val="0"/>
        <w:ind w:right="540" w:firstLine="720"/>
        <w:jc w:val="both"/>
      </w:pPr>
      <w:r>
        <w:rPr>
          <w:b/>
        </w:rPr>
        <w:t xml:space="preserve">5. </w:t>
      </w:r>
      <w:r w:rsidR="0070589C">
        <w:rPr>
          <w:b/>
        </w:rPr>
        <w:t>State</w:t>
      </w:r>
      <w:r>
        <w:rPr>
          <w:b/>
        </w:rPr>
        <w:t xml:space="preserve"> enforcement </w:t>
      </w:r>
      <w:r w:rsidR="0070589C">
        <w:rPr>
          <w:b/>
        </w:rPr>
        <w:t xml:space="preserve">and citizen </w:t>
      </w:r>
      <w:r w:rsidR="0070589C" w:rsidRPr="00265FA5">
        <w:rPr>
          <w:b/>
        </w:rPr>
        <w:t>suits.</w:t>
      </w:r>
      <w:r w:rsidR="0070589C">
        <w:t xml:space="preserve">  Reflecting the value of SEPs to local communities, SEPs have been a popular tool for settling enforcement actions brought by states, tribes, and private parties through citizen suits.  Settlements under state law may not require compliance with EPA’s SEP policy (or be subject to increasing limitations imposed by DOJ).  However, settlements of citizen suits under federal statutes entered as consent decrees in federal court may still trigger the EPA SEP policy and DOJ objections. As such, some citizen suit settlements may take the form of stipulated dismissals or other contractual arrangements that do not require entry in court as consent decrees.  </w:t>
      </w:r>
    </w:p>
    <w:p w14:paraId="47B9E5B3" w14:textId="77777777" w:rsidR="0070589C" w:rsidRDefault="0070589C" w:rsidP="0070589C">
      <w:pPr>
        <w:pStyle w:val="BodyText"/>
        <w:kinsoku w:val="0"/>
        <w:overflowPunct w:val="0"/>
        <w:ind w:right="897" w:firstLine="720"/>
        <w:jc w:val="both"/>
      </w:pPr>
    </w:p>
    <w:p w14:paraId="41ADD57A" w14:textId="20423090" w:rsidR="0070589C" w:rsidRDefault="00022E43" w:rsidP="0070589C">
      <w:pPr>
        <w:pStyle w:val="BodyText"/>
        <w:kinsoku w:val="0"/>
        <w:overflowPunct w:val="0"/>
        <w:ind w:right="540" w:firstLine="720"/>
        <w:jc w:val="both"/>
      </w:pPr>
      <w:r>
        <w:rPr>
          <w:b/>
        </w:rPr>
        <w:t>6</w:t>
      </w:r>
      <w:r w:rsidR="0070589C" w:rsidRPr="000A019E">
        <w:rPr>
          <w:b/>
        </w:rPr>
        <w:t xml:space="preserve">.  Public involvement in </w:t>
      </w:r>
      <w:r w:rsidR="002C5871">
        <w:rPr>
          <w:b/>
        </w:rPr>
        <w:t xml:space="preserve">government </w:t>
      </w:r>
      <w:r w:rsidR="0070589C" w:rsidRPr="000A019E">
        <w:rPr>
          <w:b/>
        </w:rPr>
        <w:t>enforcement.</w:t>
      </w:r>
      <w:r w:rsidR="0070589C">
        <w:t xml:space="preserve">  This note addresses perhaps the most challenging question in this chapter for how community advocates may engage in government enforcement processes from outside of the government.  In some cases, there may no good answers, as with TSCA settlements, which have no requirement for public comments.  And even where some opportunity for public comment may be required, as with the Clean Water Act, it may be very likely that members of the affected community will receive no notice of a proposed settlement.  One modest answer, suggested at the bottom of this note, is essentially making friends with folks inside the agencies and getting on mailing or email lists for public information.  Other ideas might emerge from student brainstorming on the question.  </w:t>
      </w:r>
    </w:p>
    <w:p w14:paraId="44E36DCE" w14:textId="77777777" w:rsidR="0070589C" w:rsidRPr="00034365" w:rsidRDefault="0070589C" w:rsidP="0070589C">
      <w:pPr>
        <w:pStyle w:val="BodyText"/>
        <w:rPr>
          <w:bCs/>
        </w:rPr>
      </w:pPr>
    </w:p>
    <w:p w14:paraId="63F8526C" w14:textId="77777777" w:rsidR="0070589C" w:rsidRDefault="0070589C" w:rsidP="0070589C">
      <w:pPr>
        <w:widowControl/>
        <w:autoSpaceDE/>
        <w:autoSpaceDN/>
        <w:adjustRightInd/>
        <w:spacing w:after="160" w:line="259" w:lineRule="auto"/>
        <w:rPr>
          <w:sz w:val="24"/>
          <w:szCs w:val="24"/>
        </w:rPr>
      </w:pPr>
      <w:r>
        <w:br w:type="page"/>
      </w:r>
    </w:p>
    <w:p w14:paraId="487EEA3A" w14:textId="77777777" w:rsidR="0070589C" w:rsidRPr="00733FF8" w:rsidRDefault="0070589C" w:rsidP="0070589C">
      <w:pPr>
        <w:pStyle w:val="Heading1"/>
        <w:kinsoku w:val="0"/>
        <w:overflowPunct w:val="0"/>
        <w:spacing w:before="58"/>
        <w:ind w:left="0"/>
        <w:rPr>
          <w:sz w:val="32"/>
          <w:szCs w:val="32"/>
        </w:rPr>
      </w:pPr>
      <w:r w:rsidRPr="00733FF8">
        <w:rPr>
          <w:sz w:val="32"/>
          <w:szCs w:val="32"/>
        </w:rPr>
        <w:lastRenderedPageBreak/>
        <w:t xml:space="preserve">Chapter </w:t>
      </w:r>
      <w:r>
        <w:rPr>
          <w:sz w:val="32"/>
          <w:szCs w:val="32"/>
        </w:rPr>
        <w:t>8</w:t>
      </w:r>
    </w:p>
    <w:p w14:paraId="47EC899D" w14:textId="77777777" w:rsidR="0070589C" w:rsidRPr="00733FF8" w:rsidRDefault="0070589C" w:rsidP="0070589C">
      <w:pPr>
        <w:rPr>
          <w:b/>
          <w:sz w:val="32"/>
          <w:szCs w:val="32"/>
        </w:rPr>
      </w:pPr>
    </w:p>
    <w:p w14:paraId="58681E01" w14:textId="77777777" w:rsidR="0070589C" w:rsidRPr="00733FF8" w:rsidRDefault="0070589C" w:rsidP="0070589C">
      <w:pPr>
        <w:rPr>
          <w:b/>
          <w:sz w:val="32"/>
          <w:szCs w:val="32"/>
        </w:rPr>
      </w:pPr>
      <w:r>
        <w:rPr>
          <w:b/>
          <w:sz w:val="32"/>
          <w:szCs w:val="32"/>
        </w:rPr>
        <w:t>Environmental Justice and Contaminated Sites</w:t>
      </w:r>
    </w:p>
    <w:p w14:paraId="2D5401A1" w14:textId="77777777" w:rsidR="0070589C" w:rsidRDefault="0070589C" w:rsidP="0070589C">
      <w:pPr>
        <w:pStyle w:val="BodyText"/>
        <w:kinsoku w:val="0"/>
        <w:overflowPunct w:val="0"/>
        <w:rPr>
          <w:b/>
          <w:bCs/>
        </w:rPr>
      </w:pPr>
    </w:p>
    <w:p w14:paraId="0ACF3B3C" w14:textId="77777777" w:rsidR="0070589C" w:rsidRPr="00247DBD" w:rsidRDefault="0070589C" w:rsidP="0070589C">
      <w:pPr>
        <w:pStyle w:val="BodyText"/>
        <w:kinsoku w:val="0"/>
        <w:overflowPunct w:val="0"/>
        <w:ind w:right="897" w:firstLine="720"/>
        <w:rPr>
          <w:b/>
        </w:rPr>
      </w:pPr>
      <w:r>
        <w:rPr>
          <w:b/>
        </w:rPr>
        <w:t>A.  Introduction</w:t>
      </w:r>
    </w:p>
    <w:p w14:paraId="4B2013AF" w14:textId="77777777" w:rsidR="0070589C" w:rsidRDefault="0070589C" w:rsidP="0070589C">
      <w:pPr>
        <w:pStyle w:val="BodyText"/>
        <w:kinsoku w:val="0"/>
        <w:overflowPunct w:val="0"/>
        <w:ind w:right="897"/>
        <w:jc w:val="both"/>
      </w:pPr>
    </w:p>
    <w:p w14:paraId="28A004D4" w14:textId="63CD20CB" w:rsidR="0070589C" w:rsidRDefault="0070589C" w:rsidP="0070589C">
      <w:pPr>
        <w:pStyle w:val="BodyText"/>
        <w:kinsoku w:val="0"/>
        <w:overflowPunct w:val="0"/>
        <w:ind w:right="540" w:firstLine="720"/>
        <w:jc w:val="both"/>
      </w:pPr>
      <w:r>
        <w:t xml:space="preserve">Compared to the limited community involvement in public enforcement explored in Chapter 7, community involvement in the discovery and cleanup of contaminated sites – the subject of this chapter – may be much more robust.  The chapter begins with narrative of the </w:t>
      </w:r>
      <w:r w:rsidR="00F83771">
        <w:t xml:space="preserve">Westside Lead </w:t>
      </w:r>
      <w:r>
        <w:t xml:space="preserve">Superfund Site in </w:t>
      </w:r>
      <w:r w:rsidR="00F83771">
        <w:t>Atlanta, Georgia</w:t>
      </w:r>
      <w:r>
        <w:t xml:space="preserve">.  The narrative notes the </w:t>
      </w:r>
      <w:r w:rsidR="00F83771">
        <w:t xml:space="preserve">role of Emory University researchers in identifying this site in a predominantly Black community and the </w:t>
      </w:r>
      <w:r w:rsidR="0034480D">
        <w:t xml:space="preserve">unusually </w:t>
      </w:r>
      <w:r w:rsidR="00F83771">
        <w:t xml:space="preserve">rapid response of EPA to investigating and beginning cleanup.  </w:t>
      </w:r>
      <w:r>
        <w:t xml:space="preserve">The narrative also notes the disproportionate impacts of contaminated sites on racial and ethnic minorities in the United States, making the problem of contaminated sites often a problem of environmental injustice and racial justice.  </w:t>
      </w:r>
    </w:p>
    <w:p w14:paraId="1DE61435" w14:textId="77777777" w:rsidR="0070589C" w:rsidRDefault="0070589C" w:rsidP="0070589C">
      <w:pPr>
        <w:pStyle w:val="BodyText"/>
        <w:kinsoku w:val="0"/>
        <w:overflowPunct w:val="0"/>
        <w:ind w:right="897" w:firstLine="720"/>
        <w:jc w:val="both"/>
      </w:pPr>
    </w:p>
    <w:p w14:paraId="1EA1EAE8" w14:textId="77777777" w:rsidR="0070589C" w:rsidRDefault="0070589C" w:rsidP="0070589C">
      <w:pPr>
        <w:pStyle w:val="BodyText"/>
        <w:kinsoku w:val="0"/>
        <w:overflowPunct w:val="0"/>
        <w:ind w:right="897" w:firstLine="720"/>
        <w:jc w:val="both"/>
        <w:rPr>
          <w:b/>
        </w:rPr>
      </w:pPr>
      <w:r>
        <w:rPr>
          <w:b/>
        </w:rPr>
        <w:t>B.  Legal Authorities for Cleaning Up Contaminated Sites</w:t>
      </w:r>
    </w:p>
    <w:p w14:paraId="44BD7BDB" w14:textId="77777777" w:rsidR="0070589C" w:rsidRDefault="0070589C" w:rsidP="0070589C">
      <w:pPr>
        <w:pStyle w:val="BodyText"/>
        <w:kinsoku w:val="0"/>
        <w:overflowPunct w:val="0"/>
        <w:ind w:left="720" w:right="897"/>
        <w:jc w:val="both"/>
        <w:rPr>
          <w:b/>
        </w:rPr>
      </w:pPr>
    </w:p>
    <w:p w14:paraId="34455587" w14:textId="77777777" w:rsidR="0070589C" w:rsidRPr="00247DBD" w:rsidRDefault="0070589C" w:rsidP="0070589C">
      <w:pPr>
        <w:pStyle w:val="BodyText"/>
        <w:kinsoku w:val="0"/>
        <w:overflowPunct w:val="0"/>
        <w:ind w:right="897"/>
        <w:jc w:val="both"/>
        <w:rPr>
          <w:b/>
        </w:rPr>
      </w:pPr>
      <w:r>
        <w:rPr>
          <w:b/>
        </w:rPr>
        <w:t>1.  Jurisdictional Triggers for Cleanup Statutes</w:t>
      </w:r>
    </w:p>
    <w:p w14:paraId="62EEF522" w14:textId="77777777" w:rsidR="0070589C" w:rsidRPr="00324C96" w:rsidRDefault="0070589C" w:rsidP="0070589C">
      <w:pPr>
        <w:pStyle w:val="BodyText"/>
        <w:kinsoku w:val="0"/>
        <w:overflowPunct w:val="0"/>
        <w:ind w:right="897"/>
        <w:jc w:val="both"/>
      </w:pPr>
    </w:p>
    <w:p w14:paraId="043EF212" w14:textId="77777777" w:rsidR="0070589C" w:rsidRDefault="0070589C" w:rsidP="0070589C">
      <w:pPr>
        <w:pStyle w:val="BodyText"/>
        <w:kinsoku w:val="0"/>
        <w:overflowPunct w:val="0"/>
        <w:ind w:right="540" w:firstLine="720"/>
        <w:jc w:val="both"/>
      </w:pPr>
      <w:r>
        <w:t xml:space="preserve">For any contaminated site in the United States, one of the first questions for community advocates to consider is, </w:t>
      </w:r>
      <w:r w:rsidRPr="004F3D2B">
        <w:rPr>
          <w:i/>
        </w:rPr>
        <w:t>Which law applies?</w:t>
      </w:r>
      <w:r>
        <w:t xml:space="preserve">  This section introduces the three federal statutes that will cover most contaminated sites in the United States.  Note that jurisdiction often depends on key provisions such as CERCLA § 104(a), but also upon legal definitions, such as the definition of “hazardous substance” found in CERCLA § 101.     </w:t>
      </w:r>
    </w:p>
    <w:p w14:paraId="7DD95269" w14:textId="77777777" w:rsidR="0070589C" w:rsidRPr="00581DC5" w:rsidRDefault="0070589C" w:rsidP="0070589C">
      <w:pPr>
        <w:pStyle w:val="BodyText"/>
        <w:kinsoku w:val="0"/>
        <w:overflowPunct w:val="0"/>
        <w:ind w:right="897" w:firstLine="360"/>
        <w:jc w:val="both"/>
      </w:pPr>
    </w:p>
    <w:p w14:paraId="153B76FD" w14:textId="77777777" w:rsidR="0070589C" w:rsidRDefault="0070589C" w:rsidP="0070589C">
      <w:pPr>
        <w:pStyle w:val="BodyText"/>
        <w:kinsoku w:val="0"/>
        <w:overflowPunct w:val="0"/>
        <w:ind w:right="897"/>
        <w:jc w:val="center"/>
        <w:rPr>
          <w:b/>
          <w:i/>
          <w:sz w:val="28"/>
          <w:szCs w:val="28"/>
        </w:rPr>
      </w:pPr>
      <w:r w:rsidRPr="006201D9">
        <w:rPr>
          <w:b/>
          <w:i/>
          <w:sz w:val="28"/>
          <w:szCs w:val="28"/>
        </w:rPr>
        <w:t>Notes and Questions</w:t>
      </w:r>
    </w:p>
    <w:p w14:paraId="255090AB" w14:textId="77777777" w:rsidR="0070589C" w:rsidRDefault="0070589C" w:rsidP="0070589C">
      <w:pPr>
        <w:pStyle w:val="BodyText"/>
        <w:kinsoku w:val="0"/>
        <w:overflowPunct w:val="0"/>
        <w:ind w:right="897"/>
        <w:jc w:val="center"/>
        <w:rPr>
          <w:b/>
          <w:i/>
          <w:sz w:val="28"/>
          <w:szCs w:val="28"/>
        </w:rPr>
      </w:pPr>
    </w:p>
    <w:p w14:paraId="1ECAB1E9" w14:textId="77777777" w:rsidR="0070589C" w:rsidRDefault="0070589C" w:rsidP="0070589C">
      <w:pPr>
        <w:pStyle w:val="BodyText"/>
        <w:kinsoku w:val="0"/>
        <w:overflowPunct w:val="0"/>
        <w:ind w:right="540" w:firstLine="720"/>
        <w:jc w:val="both"/>
      </w:pPr>
      <w:r>
        <w:rPr>
          <w:b/>
        </w:rPr>
        <w:t>1.  Test your understanding.</w:t>
      </w:r>
      <w:r>
        <w:t xml:space="preserve">  The five hypotheticals in this question present an opportunity for students to apply the statutory provisions and definitions given immediately above.  Students may be asked to provide answers in a short, written homework assignment or asked to brainstorm responses in an in-class activity.   Below are some responses they should consider:</w:t>
      </w:r>
    </w:p>
    <w:p w14:paraId="6117FD8D" w14:textId="77777777" w:rsidR="0070589C" w:rsidRDefault="0070589C" w:rsidP="0070589C">
      <w:pPr>
        <w:pStyle w:val="BodyText"/>
        <w:kinsoku w:val="0"/>
        <w:overflowPunct w:val="0"/>
        <w:ind w:right="897" w:firstLine="720"/>
        <w:jc w:val="both"/>
      </w:pPr>
    </w:p>
    <w:p w14:paraId="7066F61E" w14:textId="77777777" w:rsidR="0070589C" w:rsidRDefault="0070589C" w:rsidP="0070589C">
      <w:pPr>
        <w:widowControl/>
        <w:numPr>
          <w:ilvl w:val="0"/>
          <w:numId w:val="20"/>
        </w:numPr>
        <w:autoSpaceDE/>
        <w:autoSpaceDN/>
        <w:adjustRightInd/>
        <w:ind w:right="918"/>
        <w:jc w:val="both"/>
        <w:rPr>
          <w:rFonts w:eastAsia="Times New Roman"/>
          <w:sz w:val="24"/>
          <w:szCs w:val="20"/>
        </w:rPr>
      </w:pPr>
      <w:r w:rsidRPr="00C83DBE">
        <w:rPr>
          <w:rFonts w:eastAsia="Times New Roman"/>
          <w:sz w:val="24"/>
          <w:szCs w:val="20"/>
        </w:rPr>
        <w:t>Two 55-gallon drums containing human waste appear one morning along a county road through the Winnebago Indian Reservation in Nebraska.</w:t>
      </w:r>
    </w:p>
    <w:p w14:paraId="38FCCC51" w14:textId="0687C4EB" w:rsidR="0070589C" w:rsidRPr="00C83DBE" w:rsidRDefault="0070589C" w:rsidP="0070589C">
      <w:pPr>
        <w:widowControl/>
        <w:numPr>
          <w:ilvl w:val="1"/>
          <w:numId w:val="20"/>
        </w:numPr>
        <w:autoSpaceDE/>
        <w:autoSpaceDN/>
        <w:adjustRightInd/>
        <w:ind w:right="918"/>
        <w:jc w:val="both"/>
        <w:rPr>
          <w:rFonts w:eastAsia="Times New Roman"/>
          <w:sz w:val="24"/>
          <w:szCs w:val="20"/>
        </w:rPr>
      </w:pPr>
      <w:r w:rsidRPr="007970DE">
        <w:rPr>
          <w:rFonts w:eastAsia="Times New Roman"/>
          <w:b/>
          <w:sz w:val="24"/>
          <w:szCs w:val="20"/>
        </w:rPr>
        <w:t>RESPONSE:</w:t>
      </w:r>
      <w:r>
        <w:rPr>
          <w:rFonts w:eastAsia="Times New Roman"/>
          <w:sz w:val="24"/>
          <w:szCs w:val="20"/>
        </w:rPr>
        <w:t xml:space="preserve">  Under CERCLA, human waste is probably not a “hazardous substance</w:t>
      </w:r>
      <w:r w:rsidR="007039A3">
        <w:rPr>
          <w:rFonts w:eastAsia="Times New Roman"/>
          <w:sz w:val="24"/>
          <w:szCs w:val="20"/>
        </w:rPr>
        <w:t>,</w:t>
      </w:r>
      <w:r>
        <w:rPr>
          <w:rFonts w:eastAsia="Times New Roman"/>
          <w:sz w:val="24"/>
          <w:szCs w:val="20"/>
        </w:rPr>
        <w:t>” but it</w:t>
      </w:r>
      <w:r w:rsidR="00163FEC">
        <w:rPr>
          <w:rFonts w:eastAsia="Times New Roman"/>
          <w:sz w:val="24"/>
          <w:szCs w:val="20"/>
        </w:rPr>
        <w:t xml:space="preserve"> may be considered </w:t>
      </w:r>
      <w:r>
        <w:rPr>
          <w:rFonts w:eastAsia="Times New Roman"/>
          <w:sz w:val="24"/>
          <w:szCs w:val="20"/>
        </w:rPr>
        <w:t xml:space="preserve">a “pollutant or contaminant” likely to include “disease-causing agents.”  Under CERCLA, the threshold for responding to a “pollutant or contaminant” may be higher than for responding to a “hazardous substance” (a subtle distinction not relevant here, but hence the reference to </w:t>
      </w:r>
      <w:r w:rsidR="002E0DA0">
        <w:rPr>
          <w:rFonts w:eastAsia="Times New Roman"/>
          <w:smallCaps/>
          <w:sz w:val="24"/>
          <w:szCs w:val="20"/>
        </w:rPr>
        <w:t>Percival</w:t>
      </w:r>
      <w:r>
        <w:rPr>
          <w:rFonts w:eastAsia="Times New Roman"/>
          <w:sz w:val="24"/>
          <w:szCs w:val="20"/>
        </w:rPr>
        <w:t xml:space="preserve"> 20</w:t>
      </w:r>
      <w:r w:rsidR="002E0DA0">
        <w:rPr>
          <w:rFonts w:eastAsia="Times New Roman"/>
          <w:sz w:val="24"/>
          <w:szCs w:val="20"/>
        </w:rPr>
        <w:t>24</w:t>
      </w:r>
      <w:r>
        <w:rPr>
          <w:rFonts w:eastAsia="Times New Roman"/>
          <w:sz w:val="24"/>
          <w:szCs w:val="20"/>
        </w:rPr>
        <w:t>).  Another statute to consider here is RCRA, as the human waste is certainly a “solid waste,” to include “domestic sewage” that is not otherwise subject to a permit under the Clean Water Act.</w:t>
      </w:r>
    </w:p>
    <w:p w14:paraId="55371D29" w14:textId="77777777" w:rsidR="0070589C" w:rsidRPr="00C83DBE" w:rsidRDefault="0070589C" w:rsidP="0070589C">
      <w:pPr>
        <w:autoSpaceDE/>
        <w:autoSpaceDN/>
        <w:adjustRightInd/>
        <w:jc w:val="center"/>
        <w:rPr>
          <w:rFonts w:eastAsia="Times New Roman"/>
          <w:sz w:val="24"/>
          <w:szCs w:val="20"/>
        </w:rPr>
      </w:pPr>
    </w:p>
    <w:p w14:paraId="3E6690A7" w14:textId="77777777" w:rsidR="0070589C" w:rsidRPr="001A0F43" w:rsidRDefault="0070589C" w:rsidP="0070589C">
      <w:pPr>
        <w:widowControl/>
        <w:numPr>
          <w:ilvl w:val="0"/>
          <w:numId w:val="20"/>
        </w:numPr>
        <w:autoSpaceDE/>
        <w:autoSpaceDN/>
        <w:adjustRightInd/>
        <w:ind w:right="828"/>
        <w:jc w:val="both"/>
        <w:rPr>
          <w:rFonts w:eastAsia="Times New Roman"/>
          <w:sz w:val="24"/>
          <w:szCs w:val="20"/>
        </w:rPr>
      </w:pPr>
      <w:r w:rsidRPr="00C83DBE">
        <w:rPr>
          <w:rFonts w:eastAsia="Times New Roman"/>
          <w:sz w:val="24"/>
          <w:szCs w:val="20"/>
        </w:rPr>
        <w:t>Five million gallons of jet fuel are discovered to have leaked over a twenty-year period from storage tanks on an Air Force base in Ohio, creating a plume of contaminated groundwater beneath a largely African American neighborhood.</w:t>
      </w:r>
    </w:p>
    <w:p w14:paraId="7FC81993" w14:textId="3D793F47" w:rsidR="0070589C" w:rsidRPr="001A0F43" w:rsidRDefault="0070589C" w:rsidP="0070589C">
      <w:pPr>
        <w:pStyle w:val="ListParagraph"/>
        <w:widowControl/>
        <w:numPr>
          <w:ilvl w:val="1"/>
          <w:numId w:val="20"/>
        </w:numPr>
        <w:autoSpaceDE/>
        <w:autoSpaceDN/>
        <w:adjustRightInd/>
        <w:ind w:right="828"/>
        <w:jc w:val="both"/>
        <w:rPr>
          <w:rFonts w:eastAsia="Times New Roman"/>
          <w:sz w:val="22"/>
          <w:szCs w:val="22"/>
        </w:rPr>
      </w:pPr>
      <w:r w:rsidRPr="001A0F43">
        <w:rPr>
          <w:rFonts w:eastAsia="Times New Roman"/>
          <w:b/>
          <w:szCs w:val="20"/>
        </w:rPr>
        <w:t>RESPONSE:</w:t>
      </w:r>
      <w:r w:rsidRPr="001A0F43">
        <w:rPr>
          <w:rFonts w:eastAsia="Times New Roman"/>
          <w:szCs w:val="20"/>
        </w:rPr>
        <w:t xml:space="preserve">  The leak of jet fuel will trigger the “petroleum exclusion” under CERCLA, so CERCLA will not apply at all. The leak into groundwater will not trigger the Clean Water Act unless there is some direct connection to surface water.  </w:t>
      </w:r>
      <w:r w:rsidRPr="001A0F43">
        <w:rPr>
          <w:rFonts w:eastAsia="Times New Roman"/>
          <w:i/>
          <w:szCs w:val="20"/>
        </w:rPr>
        <w:t>See</w:t>
      </w:r>
      <w:r w:rsidRPr="001A0F43">
        <w:rPr>
          <w:rFonts w:eastAsia="Times New Roman"/>
          <w:szCs w:val="20"/>
        </w:rPr>
        <w:t xml:space="preserve"> the Supreme Court’s 2020 decision in </w:t>
      </w:r>
      <w:r w:rsidRPr="001A0F43">
        <w:rPr>
          <w:rFonts w:eastAsia="Times New Roman"/>
          <w:i/>
          <w:szCs w:val="20"/>
        </w:rPr>
        <w:t>County of Maui v. Hawaii Wildlife Fund</w:t>
      </w:r>
      <w:r w:rsidRPr="001A0F43">
        <w:rPr>
          <w:rFonts w:eastAsia="Times New Roman"/>
          <w:szCs w:val="20"/>
        </w:rPr>
        <w:t xml:space="preserve">.  No. 18-260, 590 U.S. </w:t>
      </w:r>
      <w:r w:rsidR="001759D0">
        <w:rPr>
          <w:rFonts w:eastAsia="Times New Roman"/>
          <w:szCs w:val="20"/>
        </w:rPr>
        <w:t>165</w:t>
      </w:r>
      <w:r w:rsidRPr="001A0F43">
        <w:rPr>
          <w:rFonts w:eastAsia="Times New Roman"/>
          <w:szCs w:val="20"/>
        </w:rPr>
        <w:t xml:space="preserve"> (2020).  The most applicable authority in this case would be under RCRA, as the jet fuel once spilled on the ground certainly constitutes a “solid waste.”  This hypothetical is based upon a real leak of millions of gallons of jet fuel at Kirtland Air Force Base, contaminating groundwater beneath a low-income and racially diverse neighborhood of Albuquerque, New Mexico.  For this spill, the State of New Mexico is overseeing cleanup under RCRA. </w:t>
      </w:r>
    </w:p>
    <w:p w14:paraId="3A8A2479" w14:textId="77777777" w:rsidR="0070589C" w:rsidRPr="00C83DBE" w:rsidRDefault="0070589C" w:rsidP="0070589C">
      <w:pPr>
        <w:widowControl/>
        <w:autoSpaceDE/>
        <w:autoSpaceDN/>
        <w:adjustRightInd/>
        <w:ind w:left="720"/>
        <w:rPr>
          <w:rFonts w:eastAsia="Times New Roman"/>
          <w:sz w:val="24"/>
          <w:szCs w:val="20"/>
        </w:rPr>
      </w:pPr>
    </w:p>
    <w:p w14:paraId="60A60A66" w14:textId="77777777" w:rsidR="0070589C" w:rsidRDefault="0070589C" w:rsidP="0070589C">
      <w:pPr>
        <w:widowControl/>
        <w:numPr>
          <w:ilvl w:val="0"/>
          <w:numId w:val="20"/>
        </w:numPr>
        <w:autoSpaceDE/>
        <w:autoSpaceDN/>
        <w:adjustRightInd/>
        <w:ind w:right="828"/>
        <w:jc w:val="both"/>
        <w:rPr>
          <w:rFonts w:eastAsia="Times New Roman"/>
          <w:sz w:val="24"/>
          <w:szCs w:val="20"/>
        </w:rPr>
      </w:pPr>
      <w:r w:rsidRPr="00C83DBE">
        <w:rPr>
          <w:rFonts w:eastAsia="Times New Roman"/>
          <w:sz w:val="24"/>
          <w:szCs w:val="20"/>
        </w:rPr>
        <w:t>A fishing vessel sinks off the Georgia coast, discharging an estimated 2,200 gallons of diesel fuel and contaminating the shoreline of a Gullah community on a nearby island.</w:t>
      </w:r>
    </w:p>
    <w:p w14:paraId="5CE9E017" w14:textId="77777777" w:rsidR="0070589C" w:rsidRPr="00C83DBE" w:rsidRDefault="0070589C" w:rsidP="0070589C">
      <w:pPr>
        <w:widowControl/>
        <w:numPr>
          <w:ilvl w:val="1"/>
          <w:numId w:val="20"/>
        </w:numPr>
        <w:autoSpaceDE/>
        <w:autoSpaceDN/>
        <w:adjustRightInd/>
        <w:ind w:right="828"/>
        <w:jc w:val="both"/>
        <w:rPr>
          <w:rFonts w:eastAsia="Times New Roman"/>
          <w:sz w:val="24"/>
          <w:szCs w:val="20"/>
        </w:rPr>
      </w:pPr>
      <w:r w:rsidRPr="007970DE">
        <w:rPr>
          <w:rFonts w:eastAsia="Times New Roman"/>
          <w:b/>
          <w:sz w:val="24"/>
          <w:szCs w:val="20"/>
        </w:rPr>
        <w:t>RESPONSE:</w:t>
      </w:r>
      <w:r>
        <w:rPr>
          <w:rFonts w:eastAsia="Times New Roman"/>
          <w:sz w:val="24"/>
          <w:szCs w:val="20"/>
        </w:rPr>
        <w:t xml:space="preserve">  This hypothetical also invokes the CERCLA petroleum exclusion, but directly triggers jurisdiction of Clean Water Act § 311, known commonly as the Oil Pollution Act (OPA).  Passed by Congress in the immediate wake of the Exxon Valdez spill in 1989, OPA is the primary federal authority for responding to oil spills on navigable waters.</w:t>
      </w:r>
    </w:p>
    <w:p w14:paraId="1346C7EC" w14:textId="77777777" w:rsidR="0070589C" w:rsidRPr="00C83DBE" w:rsidRDefault="0070589C" w:rsidP="0070589C">
      <w:pPr>
        <w:widowControl/>
        <w:autoSpaceDE/>
        <w:autoSpaceDN/>
        <w:adjustRightInd/>
        <w:ind w:left="720"/>
        <w:rPr>
          <w:rFonts w:eastAsia="Times New Roman"/>
          <w:sz w:val="24"/>
          <w:szCs w:val="20"/>
        </w:rPr>
      </w:pPr>
    </w:p>
    <w:p w14:paraId="1D705BFD" w14:textId="77777777" w:rsidR="0070589C" w:rsidRDefault="0070589C" w:rsidP="0070589C">
      <w:pPr>
        <w:widowControl/>
        <w:numPr>
          <w:ilvl w:val="0"/>
          <w:numId w:val="20"/>
        </w:numPr>
        <w:autoSpaceDE/>
        <w:autoSpaceDN/>
        <w:adjustRightInd/>
        <w:ind w:right="828"/>
        <w:jc w:val="both"/>
        <w:rPr>
          <w:rFonts w:eastAsia="Times New Roman"/>
          <w:sz w:val="24"/>
          <w:szCs w:val="20"/>
        </w:rPr>
      </w:pPr>
      <w:r w:rsidRPr="00C83DBE">
        <w:rPr>
          <w:rFonts w:eastAsia="Times New Roman"/>
          <w:sz w:val="24"/>
          <w:szCs w:val="20"/>
        </w:rPr>
        <w:t>Residents of a poor, rural county in Texas near the border with Mexico supplement their income by picking through an illegal dumpsite in order to salvage metals including cadmium, copper, nickel, and zinc.</w:t>
      </w:r>
    </w:p>
    <w:p w14:paraId="7A85B5AC" w14:textId="50C2282E" w:rsidR="0070589C" w:rsidRPr="001660FA" w:rsidRDefault="0070589C" w:rsidP="0070589C">
      <w:pPr>
        <w:widowControl/>
        <w:numPr>
          <w:ilvl w:val="1"/>
          <w:numId w:val="20"/>
        </w:numPr>
        <w:autoSpaceDE/>
        <w:autoSpaceDN/>
        <w:adjustRightInd/>
        <w:ind w:right="828"/>
        <w:jc w:val="both"/>
        <w:rPr>
          <w:rFonts w:eastAsia="Times New Roman"/>
          <w:sz w:val="24"/>
          <w:szCs w:val="20"/>
        </w:rPr>
      </w:pPr>
      <w:r w:rsidRPr="007970DE">
        <w:rPr>
          <w:rFonts w:eastAsia="Times New Roman"/>
          <w:b/>
          <w:sz w:val="24"/>
          <w:szCs w:val="20"/>
        </w:rPr>
        <w:t>RESPONSE:</w:t>
      </w:r>
      <w:r w:rsidRPr="001660FA">
        <w:rPr>
          <w:rFonts w:eastAsia="Times New Roman"/>
          <w:sz w:val="24"/>
          <w:szCs w:val="20"/>
        </w:rPr>
        <w:t xml:space="preserve">  Cadmium, copper, nickel, zinc, and most other metals are all “hazardous substances” under CERCLA.   The release of these metals in the dumpsite triggers response authority under CERCLA § 104.  The disposal of these metals in an “illegal dumpsite” also triggers liability under RCRA for disposal of “hazardous waste”</w:t>
      </w:r>
      <w:r>
        <w:rPr>
          <w:rFonts w:eastAsia="Times New Roman"/>
          <w:sz w:val="24"/>
          <w:szCs w:val="20"/>
        </w:rPr>
        <w:t xml:space="preserve"> (</w:t>
      </w:r>
      <w:r w:rsidRPr="001660FA">
        <w:rPr>
          <w:rFonts w:eastAsia="Times New Roman"/>
          <w:sz w:val="24"/>
          <w:szCs w:val="20"/>
        </w:rPr>
        <w:t xml:space="preserve">a subject explored in Chapter 7:  </w:t>
      </w:r>
      <w:r w:rsidR="009A669C">
        <w:rPr>
          <w:rFonts w:eastAsia="Times New Roman"/>
          <w:sz w:val="24"/>
          <w:szCs w:val="20"/>
        </w:rPr>
        <w:t xml:space="preserve">Government </w:t>
      </w:r>
      <w:r w:rsidRPr="001660FA">
        <w:rPr>
          <w:rFonts w:eastAsia="Times New Roman"/>
          <w:sz w:val="24"/>
          <w:szCs w:val="20"/>
        </w:rPr>
        <w:t xml:space="preserve">Enforcement).  </w:t>
      </w:r>
      <w:r>
        <w:rPr>
          <w:rFonts w:eastAsia="Times New Roman"/>
          <w:sz w:val="24"/>
          <w:szCs w:val="20"/>
        </w:rPr>
        <w:t>Between RCRA and CERCLA, CERCLA allows for greater public involvement, so CERCLA might be a better choice for advocates concerned about protecting this poor, rural community.</w:t>
      </w:r>
    </w:p>
    <w:p w14:paraId="76979399" w14:textId="77777777" w:rsidR="0070589C" w:rsidRPr="00C83DBE" w:rsidRDefault="0070589C" w:rsidP="0070589C">
      <w:pPr>
        <w:widowControl/>
        <w:autoSpaceDE/>
        <w:autoSpaceDN/>
        <w:adjustRightInd/>
        <w:ind w:left="720"/>
        <w:rPr>
          <w:rFonts w:eastAsia="Times New Roman"/>
          <w:sz w:val="24"/>
          <w:szCs w:val="20"/>
        </w:rPr>
      </w:pPr>
    </w:p>
    <w:p w14:paraId="30064833" w14:textId="77777777" w:rsidR="0070589C" w:rsidRDefault="0070589C" w:rsidP="0070589C">
      <w:pPr>
        <w:widowControl/>
        <w:numPr>
          <w:ilvl w:val="0"/>
          <w:numId w:val="20"/>
        </w:numPr>
        <w:autoSpaceDE/>
        <w:autoSpaceDN/>
        <w:adjustRightInd/>
        <w:ind w:right="828"/>
        <w:jc w:val="both"/>
        <w:rPr>
          <w:rFonts w:eastAsia="Times New Roman"/>
          <w:sz w:val="24"/>
          <w:szCs w:val="20"/>
        </w:rPr>
      </w:pPr>
      <w:r w:rsidRPr="00C83DBE">
        <w:rPr>
          <w:rFonts w:eastAsia="Times New Roman"/>
          <w:sz w:val="24"/>
          <w:szCs w:val="20"/>
        </w:rPr>
        <w:t>A newly constructed pipeline transporting crude oil from North Dakota to Illinois develops a leak and spills more than 100,000 gallons of oil on an Iowa cornfield.</w:t>
      </w:r>
    </w:p>
    <w:p w14:paraId="7C0C8A7D" w14:textId="77777777" w:rsidR="0070589C" w:rsidRPr="00C83DBE" w:rsidRDefault="0070589C" w:rsidP="0070589C">
      <w:pPr>
        <w:widowControl/>
        <w:numPr>
          <w:ilvl w:val="1"/>
          <w:numId w:val="20"/>
        </w:numPr>
        <w:autoSpaceDE/>
        <w:autoSpaceDN/>
        <w:adjustRightInd/>
        <w:ind w:right="828"/>
        <w:jc w:val="both"/>
        <w:rPr>
          <w:rFonts w:eastAsia="Times New Roman"/>
          <w:sz w:val="24"/>
          <w:szCs w:val="20"/>
        </w:rPr>
      </w:pPr>
      <w:r w:rsidRPr="007970DE">
        <w:rPr>
          <w:rFonts w:eastAsia="Times New Roman"/>
          <w:b/>
          <w:sz w:val="24"/>
          <w:szCs w:val="20"/>
        </w:rPr>
        <w:t>RESPONSE:</w:t>
      </w:r>
      <w:r>
        <w:rPr>
          <w:rFonts w:eastAsia="Times New Roman"/>
          <w:sz w:val="24"/>
          <w:szCs w:val="20"/>
        </w:rPr>
        <w:t xml:space="preserve">  This hypothetical again invokes the CERCLA petroleum exclusion, but the spill into the cornfield also removes the Clean Water Act from jurisdiction.  In this case, the only potential federal authority would be RCRA as the spilled oil may constitute a “solid waste.”  This might also </w:t>
      </w:r>
      <w:r>
        <w:rPr>
          <w:rFonts w:eastAsia="Times New Roman"/>
          <w:sz w:val="24"/>
          <w:szCs w:val="20"/>
        </w:rPr>
        <w:lastRenderedPageBreak/>
        <w:t xml:space="preserve">be a good case to consider response under state authorities, which often eliminate the federal exclusion for petroleum.  </w:t>
      </w:r>
    </w:p>
    <w:p w14:paraId="0829E5EF" w14:textId="77777777" w:rsidR="0070589C" w:rsidRDefault="0070589C" w:rsidP="0070589C">
      <w:pPr>
        <w:pStyle w:val="BodyText"/>
        <w:kinsoku w:val="0"/>
        <w:overflowPunct w:val="0"/>
        <w:ind w:right="897" w:firstLine="720"/>
        <w:jc w:val="both"/>
      </w:pPr>
    </w:p>
    <w:p w14:paraId="61011FBF" w14:textId="4318E198" w:rsidR="0070589C" w:rsidRDefault="0070589C" w:rsidP="0070589C">
      <w:pPr>
        <w:pStyle w:val="BodyText"/>
        <w:kinsoku w:val="0"/>
        <w:overflowPunct w:val="0"/>
        <w:ind w:right="540" w:firstLine="720"/>
        <w:jc w:val="both"/>
      </w:pPr>
      <w:r w:rsidRPr="007970DE">
        <w:rPr>
          <w:b/>
        </w:rPr>
        <w:t xml:space="preserve">2.  RCRA vs. CERCLA.  </w:t>
      </w:r>
      <w:r>
        <w:t>This note provides a closer look at differences between RCRA and CERCLA, in part to address confusion that is often (and understandably) expressed by community advocates in attempting to distinguish between the two.  In very general terms, RCRA’s cleanup program (known as “corrective action”) is most often used for operating facilities, while CERCLA is most often used for closed or former facilities.  Also, CERCLA provides far more direction for selecting and implementing cleanup actions, and far more opportunities for community engagement.</w:t>
      </w:r>
      <w:r w:rsidR="008905D5">
        <w:t xml:space="preserve">  </w:t>
      </w:r>
      <w:r w:rsidR="001109CD">
        <w:t xml:space="preserve">Note here major exemptions from RCRA authority, including the Bevill Amendment, which exempts </w:t>
      </w:r>
      <w:r w:rsidR="00D3510E">
        <w:t xml:space="preserve">mountains of mining waste </w:t>
      </w:r>
      <w:r w:rsidR="00ED685C">
        <w:t>especially prevalent in the West.</w:t>
      </w:r>
      <w:r w:rsidR="00D3510E">
        <w:t xml:space="preserve"> </w:t>
      </w:r>
    </w:p>
    <w:p w14:paraId="032BD1F5" w14:textId="77777777" w:rsidR="0070589C" w:rsidRDefault="0070589C" w:rsidP="0070589C">
      <w:pPr>
        <w:pStyle w:val="BodyText"/>
        <w:kinsoku w:val="0"/>
        <w:overflowPunct w:val="0"/>
        <w:ind w:right="897" w:firstLine="720"/>
        <w:jc w:val="both"/>
      </w:pPr>
    </w:p>
    <w:p w14:paraId="4322693D" w14:textId="77777777" w:rsidR="0070589C" w:rsidRPr="007970DE" w:rsidRDefault="0070589C" w:rsidP="0070589C">
      <w:pPr>
        <w:pStyle w:val="BodyText"/>
        <w:kinsoku w:val="0"/>
        <w:overflowPunct w:val="0"/>
        <w:ind w:right="540"/>
        <w:jc w:val="both"/>
      </w:pPr>
      <w:r>
        <w:tab/>
      </w:r>
      <w:r w:rsidRPr="002C1F94">
        <w:rPr>
          <w:b/>
        </w:rPr>
        <w:t>3.  National Contingency Plan.</w:t>
      </w:r>
      <w:r>
        <w:t xml:space="preserve">  This note is mostly self-explanatory.  Students who have had a course in Administrative Law may find the NCP particularly curious as a rule that pre-dated the law that required it.</w:t>
      </w:r>
    </w:p>
    <w:p w14:paraId="1A2C1CB6" w14:textId="77777777" w:rsidR="0070589C" w:rsidRDefault="0070589C" w:rsidP="0070589C">
      <w:pPr>
        <w:pStyle w:val="BodyText"/>
        <w:kinsoku w:val="0"/>
        <w:overflowPunct w:val="0"/>
        <w:ind w:right="897"/>
        <w:jc w:val="both"/>
      </w:pPr>
    </w:p>
    <w:p w14:paraId="29562A8A" w14:textId="02348328" w:rsidR="0070589C" w:rsidRPr="002C1F94" w:rsidRDefault="0070589C" w:rsidP="0070589C">
      <w:pPr>
        <w:pStyle w:val="BodyText"/>
        <w:kinsoku w:val="0"/>
        <w:overflowPunct w:val="0"/>
        <w:ind w:right="897"/>
        <w:jc w:val="both"/>
        <w:rPr>
          <w:b/>
        </w:rPr>
      </w:pPr>
      <w:r w:rsidRPr="002C1F94">
        <w:rPr>
          <w:b/>
        </w:rPr>
        <w:t xml:space="preserve">2.  </w:t>
      </w:r>
      <w:r w:rsidR="00ED685C">
        <w:rPr>
          <w:b/>
        </w:rPr>
        <w:t xml:space="preserve">Paying for Site Investigation and </w:t>
      </w:r>
      <w:r w:rsidRPr="002C1F94">
        <w:rPr>
          <w:b/>
        </w:rPr>
        <w:t xml:space="preserve">Cleanup.  </w:t>
      </w:r>
    </w:p>
    <w:p w14:paraId="69AAC15A" w14:textId="77777777" w:rsidR="0070589C" w:rsidRDefault="0070589C" w:rsidP="0070589C">
      <w:pPr>
        <w:pStyle w:val="BodyText"/>
        <w:kinsoku w:val="0"/>
        <w:overflowPunct w:val="0"/>
        <w:ind w:right="897" w:firstLine="720"/>
        <w:jc w:val="both"/>
      </w:pPr>
    </w:p>
    <w:p w14:paraId="56C89600" w14:textId="15BB29C8" w:rsidR="0070589C" w:rsidRDefault="0070589C" w:rsidP="0070589C">
      <w:pPr>
        <w:pStyle w:val="BodyText"/>
        <w:kinsoku w:val="0"/>
        <w:overflowPunct w:val="0"/>
        <w:ind w:right="540" w:firstLine="720"/>
        <w:jc w:val="both"/>
      </w:pPr>
      <w:r>
        <w:t xml:space="preserve">One of the most important questions for communities concerned about a contaminated site is how to pay for cleanup.  On this question, it appears that community advocates across the country have received either no advice or profoundly wrong advice.  (One of the book authors once attended a panel presentation at </w:t>
      </w:r>
      <w:r w:rsidR="00F67325">
        <w:t xml:space="preserve">an environmental law conference </w:t>
      </w:r>
      <w:r>
        <w:t xml:space="preserve">where </w:t>
      </w:r>
      <w:r w:rsidR="00B36DCE">
        <w:t>ideas for cleanup funding r</w:t>
      </w:r>
      <w:r>
        <w:t>anged narrowly from grant applications to bake sales.)  This section aims to correct mistaken ideas about cleanup funding and help community advocates access the big money available for cleanup every year through federal program – especially, CERCLA, aka “Superfund.”</w:t>
      </w:r>
    </w:p>
    <w:p w14:paraId="682F64F3" w14:textId="77777777" w:rsidR="0070589C" w:rsidRDefault="0070589C" w:rsidP="0070589C">
      <w:pPr>
        <w:pStyle w:val="BodyText"/>
        <w:kinsoku w:val="0"/>
        <w:overflowPunct w:val="0"/>
        <w:ind w:right="897" w:firstLine="720"/>
        <w:jc w:val="both"/>
      </w:pPr>
    </w:p>
    <w:p w14:paraId="7D40AE24" w14:textId="77777777" w:rsidR="0070589C" w:rsidRDefault="0070589C" w:rsidP="0070589C">
      <w:pPr>
        <w:pStyle w:val="BodyText"/>
        <w:kinsoku w:val="0"/>
        <w:overflowPunct w:val="0"/>
        <w:ind w:right="540" w:firstLine="720"/>
        <w:jc w:val="both"/>
      </w:pPr>
      <w:r>
        <w:t xml:space="preserve">One point for all instructors to hammer home here is that cleanup under Superfund DOES NOT require designation of a “Superfund site.” Under Superfund, the presumptive source of funding for any cleanup at any contaminated site (regardless of whether or not it has been designated as a “Superfund site”) is what the statute identifies as a “potentially responsible party” (PRP).  If the PRP, under the “polluter pays principle,” is unable or unwilling to pay for the cleanup, then EPA may pay for the cleanup itself from the “Hazardous Substance Superfund,” aka “the Superfund.”  </w:t>
      </w:r>
    </w:p>
    <w:p w14:paraId="3565A28D" w14:textId="77777777" w:rsidR="0070589C" w:rsidRDefault="0070589C" w:rsidP="0070589C">
      <w:pPr>
        <w:pStyle w:val="BodyText"/>
        <w:kinsoku w:val="0"/>
        <w:overflowPunct w:val="0"/>
        <w:ind w:right="897" w:firstLine="720"/>
        <w:jc w:val="both"/>
      </w:pPr>
    </w:p>
    <w:p w14:paraId="1719BE49" w14:textId="77777777" w:rsidR="0070589C" w:rsidRDefault="0070589C" w:rsidP="0070589C">
      <w:pPr>
        <w:pStyle w:val="BodyText"/>
        <w:kinsoku w:val="0"/>
        <w:overflowPunct w:val="0"/>
        <w:ind w:right="540" w:firstLine="720"/>
        <w:jc w:val="both"/>
      </w:pPr>
      <w:r>
        <w:t xml:space="preserve">The section’s narrative introduces the two major categories of cleanup under Superfund:  (1) removal actions;  and (2) remedial actions.  When community advocates (and academics) think of “Superfund,” they invariably think of remedial actions – cleanups that tend to go on for years and cost tens or hundreds of millions of dollars. Until this third edition of </w:t>
      </w:r>
      <w:r w:rsidRPr="008C57B2">
        <w:rPr>
          <w:smallCaps/>
        </w:rPr>
        <w:t>Environmental Justice</w:t>
      </w:r>
      <w:r>
        <w:t xml:space="preserve">, the concept of removal actions appears nowhere in the literature of environmental justice, even though the number of removals in any given year vastly exceeds the number of remedial actions.  Removal actions are particularly suited for environmental justice initiatives because removals may bring significant resources (up to $2 million, with emergency exceptions) to clean up a contaminated site in an underserved community.  Removals may be performed quickly, without the years of study and </w:t>
      </w:r>
      <w:r>
        <w:lastRenderedPageBreak/>
        <w:t>investigation typical for a remedial action – and without the need for bake sales or other strains on what may already be a low-income community.</w:t>
      </w:r>
    </w:p>
    <w:p w14:paraId="51A5BFCC" w14:textId="77777777" w:rsidR="0070589C" w:rsidRDefault="0070589C" w:rsidP="0070589C">
      <w:pPr>
        <w:pStyle w:val="BodyText"/>
        <w:kinsoku w:val="0"/>
        <w:overflowPunct w:val="0"/>
        <w:ind w:right="897" w:firstLine="720"/>
        <w:jc w:val="both"/>
      </w:pPr>
      <w:r>
        <w:t xml:space="preserve"> </w:t>
      </w:r>
    </w:p>
    <w:p w14:paraId="0E94147E" w14:textId="4CB2E5F4" w:rsidR="000C1BE1" w:rsidRDefault="0070589C" w:rsidP="0070589C">
      <w:pPr>
        <w:pStyle w:val="BodyText"/>
        <w:kinsoku w:val="0"/>
        <w:overflowPunct w:val="0"/>
        <w:ind w:right="540" w:firstLine="720"/>
        <w:jc w:val="both"/>
      </w:pPr>
      <w:r>
        <w:t xml:space="preserve">Another important source of funding for the investigation and cleanup of contaminated sites is the EPA </w:t>
      </w:r>
      <w:r w:rsidR="009C37E2">
        <w:t>B</w:t>
      </w:r>
      <w:r>
        <w:t xml:space="preserve">rownfields program (and state and local analogues). </w:t>
      </w:r>
      <w:r w:rsidR="008C6B9F">
        <w:t xml:space="preserve">In place for more than 20 years, the EPA Brownfields program </w:t>
      </w:r>
      <w:r w:rsidR="00F12476">
        <w:t xml:space="preserve">received enhanced </w:t>
      </w:r>
      <w:r w:rsidR="00EC5EDF">
        <w:t>funding from the Bipartisan Infrastructure Law</w:t>
      </w:r>
      <w:r w:rsidR="00F12476">
        <w:t xml:space="preserve"> so that as of 2025, it routinely distributes some $300 million annually to communities all across the country.  </w:t>
      </w:r>
      <w:r w:rsidR="00B87784">
        <w:t xml:space="preserve">Instructors may want to ask students to identify </w:t>
      </w:r>
      <w:r w:rsidR="00A56A69">
        <w:t>brownfields funding and projects in your state or local area</w:t>
      </w:r>
      <w:r w:rsidR="00F12476">
        <w:t xml:space="preserve">.  </w:t>
      </w:r>
    </w:p>
    <w:p w14:paraId="5EBBE7AC" w14:textId="488A3341" w:rsidR="0070589C" w:rsidRDefault="00F12476" w:rsidP="000C1BE1">
      <w:pPr>
        <w:pStyle w:val="BodyText"/>
        <w:kinsoku w:val="0"/>
        <w:overflowPunct w:val="0"/>
        <w:ind w:right="540" w:firstLine="720"/>
        <w:jc w:val="both"/>
      </w:pPr>
      <w:r>
        <w:t>As the excerpt note</w:t>
      </w:r>
      <w:r w:rsidR="000C1BE1">
        <w:t>s</w:t>
      </w:r>
      <w:r>
        <w:t>, the Brownfields statute is one (if not the only</w:t>
      </w:r>
      <w:r w:rsidR="00E362C4">
        <w:t xml:space="preserve">) piece of federal legislation directly addressing EJ concerns, with “minority and low-income communities” prioritized for grant funding.  </w:t>
      </w:r>
      <w:r w:rsidR="000C1BE1">
        <w:t>The Brownfields Job Training program is</w:t>
      </w:r>
      <w:r w:rsidR="00B514E3">
        <w:t xml:space="preserve"> one of the best examples of the “social justice” dimension of environmental justice, </w:t>
      </w:r>
      <w:r w:rsidR="00F239F4">
        <w:t xml:space="preserve">preparing </w:t>
      </w:r>
      <w:r w:rsidR="00B514E3">
        <w:t xml:space="preserve">many graduates </w:t>
      </w:r>
      <w:r w:rsidR="00F239F4">
        <w:t xml:space="preserve">to reenter </w:t>
      </w:r>
      <w:r w:rsidR="00B514E3">
        <w:t xml:space="preserve">the workforce after incarceration or treatment for </w:t>
      </w:r>
      <w:r w:rsidR="002D783C">
        <w:t>substance abuse</w:t>
      </w:r>
      <w:r w:rsidR="00B514E3">
        <w:t xml:space="preserve">. </w:t>
      </w:r>
      <w:r w:rsidR="00021329">
        <w:t xml:space="preserve">Unfortunately, EPA’s Brownfields funding has been subject to inequitable distribution historically.  In short, it takes resources to </w:t>
      </w:r>
      <w:r w:rsidR="005829DB">
        <w:t xml:space="preserve">complete applications, </w:t>
      </w:r>
      <w:r w:rsidR="00021329">
        <w:t xml:space="preserve">compete for </w:t>
      </w:r>
      <w:r w:rsidR="005829DB">
        <w:t>funding</w:t>
      </w:r>
      <w:r w:rsidR="00C9573B">
        <w:t xml:space="preserve">, and manage grants responsibility.  To that end, many smaller communities have benefited from free Technical Assistance provided by EPA.  EPA has offers FREE, non-competitive services, including site assessment, through the Targeted Brownfields Assessment program. </w:t>
      </w:r>
      <w:r w:rsidR="006E3650">
        <w:tab/>
        <w:t>A f</w:t>
      </w:r>
      <w:r w:rsidR="0070589C">
        <w:t xml:space="preserve">inal note touches on the Oil Pollution Act of 1990, which creates a separate fund for cleanup of oil spills on the water and also authorizes broader categories of damages to affected communities and individuals, similar to CERCLA.  </w:t>
      </w:r>
    </w:p>
    <w:p w14:paraId="69B3A745" w14:textId="77777777" w:rsidR="0070589C" w:rsidRDefault="0070589C" w:rsidP="0070589C">
      <w:pPr>
        <w:pStyle w:val="BodyText"/>
        <w:kinsoku w:val="0"/>
        <w:overflowPunct w:val="0"/>
        <w:ind w:right="897"/>
        <w:jc w:val="both"/>
      </w:pPr>
    </w:p>
    <w:p w14:paraId="2C24F096" w14:textId="4590A42B" w:rsidR="0070589C" w:rsidRPr="00A06401" w:rsidRDefault="0070589C" w:rsidP="0070589C">
      <w:pPr>
        <w:pStyle w:val="BodyText"/>
        <w:kinsoku w:val="0"/>
        <w:overflowPunct w:val="0"/>
        <w:ind w:right="897"/>
        <w:jc w:val="both"/>
        <w:rPr>
          <w:b/>
        </w:rPr>
      </w:pPr>
      <w:r w:rsidRPr="00A06401">
        <w:rPr>
          <w:b/>
        </w:rPr>
        <w:t xml:space="preserve">3.  </w:t>
      </w:r>
      <w:r w:rsidR="006E3650">
        <w:rPr>
          <w:b/>
        </w:rPr>
        <w:t xml:space="preserve">Superfund </w:t>
      </w:r>
      <w:r w:rsidRPr="00A06401">
        <w:rPr>
          <w:b/>
        </w:rPr>
        <w:t>Listing.</w:t>
      </w:r>
    </w:p>
    <w:p w14:paraId="202E8143" w14:textId="77777777" w:rsidR="0070589C" w:rsidRDefault="0070589C" w:rsidP="0070589C">
      <w:pPr>
        <w:pStyle w:val="BodyText"/>
        <w:kinsoku w:val="0"/>
        <w:overflowPunct w:val="0"/>
        <w:ind w:right="897"/>
        <w:jc w:val="both"/>
      </w:pPr>
    </w:p>
    <w:p w14:paraId="2D313F19" w14:textId="03A09389" w:rsidR="0070589C" w:rsidRDefault="0070589C" w:rsidP="001D093F">
      <w:pPr>
        <w:pStyle w:val="BodyText"/>
        <w:kinsoku w:val="0"/>
        <w:overflowPunct w:val="0"/>
        <w:ind w:right="540"/>
        <w:jc w:val="both"/>
      </w:pPr>
      <w:r>
        <w:tab/>
        <w:t xml:space="preserve">This section takes a closer look at contaminated sites included on the National Priorities List (NPL).  These are the sites commonly known as “Superfund sites.”  The major purpose of NPL listing is to qualify a site for funding from the Superfund beyond the presumptive $2 million cap for removal actions.  Sites are almost always added to the NPL through application of EPA’s “Hazard Ranking System,” which results in a numeric score for the site.  Sites that score 28.5 or higher qualify for listing on the NPL.  Curiously, the final score for a site is almost always withheld from the public under EPA’s exercise of the “deliberative process” privilege.  The theory behind this EPA policy seems to be a fear that the public would misunderstand the significance of the score and confuse it with an assessment of actual risks to the public (which comes later in the RI/FS process).  In fact, despite the name of the “Hazard Ranking System,” the score does little to quantify (much less “rank”) the risks associated with one site as compared to another.  Instructors might ask students for their thoughts on whether the risk of public confusion outweighs the interest in public information in this context.  </w:t>
      </w:r>
    </w:p>
    <w:p w14:paraId="554E60F2" w14:textId="77777777" w:rsidR="0070589C" w:rsidRDefault="0070589C" w:rsidP="0070589C">
      <w:pPr>
        <w:pStyle w:val="BodyText"/>
        <w:kinsoku w:val="0"/>
        <w:overflowPunct w:val="0"/>
        <w:ind w:right="540"/>
        <w:jc w:val="both"/>
      </w:pPr>
      <w:r>
        <w:tab/>
        <w:t xml:space="preserve">This section continues to discuss the lifecycle of an NPL site, which may proceed through various stages including remediation, deletion, and an indefinite stage in between known as “construction complete.”  </w:t>
      </w:r>
    </w:p>
    <w:p w14:paraId="3AEA0CF7" w14:textId="77777777" w:rsidR="0070589C" w:rsidRDefault="0070589C" w:rsidP="0070589C">
      <w:pPr>
        <w:pStyle w:val="BodyText"/>
        <w:kinsoku w:val="0"/>
        <w:overflowPunct w:val="0"/>
        <w:ind w:right="897"/>
        <w:jc w:val="both"/>
      </w:pPr>
    </w:p>
    <w:p w14:paraId="40002C88" w14:textId="77777777" w:rsidR="0070589C" w:rsidRPr="00A06401" w:rsidRDefault="0070589C" w:rsidP="0070589C">
      <w:pPr>
        <w:pStyle w:val="BodyText"/>
        <w:kinsoku w:val="0"/>
        <w:overflowPunct w:val="0"/>
        <w:ind w:right="897"/>
        <w:jc w:val="both"/>
        <w:rPr>
          <w:b/>
        </w:rPr>
      </w:pPr>
      <w:r w:rsidRPr="00A06401">
        <w:rPr>
          <w:b/>
        </w:rPr>
        <w:t>4.  Removal Actions.</w:t>
      </w:r>
    </w:p>
    <w:p w14:paraId="61B93E36" w14:textId="77777777" w:rsidR="0070589C" w:rsidRDefault="0070589C" w:rsidP="0070589C">
      <w:pPr>
        <w:pStyle w:val="BodyText"/>
        <w:kinsoku w:val="0"/>
        <w:overflowPunct w:val="0"/>
        <w:ind w:right="897"/>
        <w:jc w:val="both"/>
      </w:pPr>
    </w:p>
    <w:p w14:paraId="1A949189" w14:textId="4C114E9D" w:rsidR="0070589C" w:rsidRDefault="0070589C" w:rsidP="0070589C">
      <w:pPr>
        <w:pStyle w:val="BodyText"/>
        <w:kinsoku w:val="0"/>
        <w:overflowPunct w:val="0"/>
        <w:ind w:right="540"/>
        <w:jc w:val="both"/>
      </w:pPr>
      <w:r>
        <w:tab/>
        <w:t xml:space="preserve">This section takes a closer look at removal actions, vastly more numerous </w:t>
      </w:r>
      <w:r w:rsidR="00E723ED">
        <w:t xml:space="preserve">than </w:t>
      </w:r>
      <w:r w:rsidR="00E723ED">
        <w:lastRenderedPageBreak/>
        <w:t xml:space="preserve">remedial actions at NPL site, but </w:t>
      </w:r>
      <w:r>
        <w:t xml:space="preserve">often overlooked.  </w:t>
      </w:r>
      <w:r w:rsidR="00EE7DE1">
        <w:t xml:space="preserve">For a survey of </w:t>
      </w:r>
      <w:r w:rsidR="00010329">
        <w:t xml:space="preserve">examples of how removal actions can help address EJ concerns, see the cited article at 52 </w:t>
      </w:r>
      <w:r w:rsidR="00010329" w:rsidRPr="00010329">
        <w:rPr>
          <w:smallCaps/>
        </w:rPr>
        <w:t>Envtl. L. Rep</w:t>
      </w:r>
      <w:r w:rsidR="00010329">
        <w:t>. 10784 (2022).</w:t>
      </w:r>
    </w:p>
    <w:p w14:paraId="509FE82B" w14:textId="77777777" w:rsidR="0070589C" w:rsidRDefault="0070589C" w:rsidP="0070589C">
      <w:pPr>
        <w:pStyle w:val="BodyText"/>
        <w:kinsoku w:val="0"/>
        <w:overflowPunct w:val="0"/>
        <w:ind w:right="897"/>
        <w:jc w:val="both"/>
      </w:pPr>
    </w:p>
    <w:p w14:paraId="219AAAB1" w14:textId="77777777" w:rsidR="0070589C" w:rsidRPr="000664BC" w:rsidRDefault="0070589C" w:rsidP="0070589C">
      <w:pPr>
        <w:pStyle w:val="BodyText"/>
        <w:kinsoku w:val="0"/>
        <w:overflowPunct w:val="0"/>
        <w:ind w:right="897"/>
        <w:jc w:val="both"/>
        <w:rPr>
          <w:b/>
        </w:rPr>
      </w:pPr>
      <w:r w:rsidRPr="000664BC">
        <w:rPr>
          <w:b/>
        </w:rPr>
        <w:t>5.  Remedial Actions.</w:t>
      </w:r>
    </w:p>
    <w:p w14:paraId="4592FF73" w14:textId="77777777" w:rsidR="0070589C" w:rsidRDefault="0070589C" w:rsidP="0070589C">
      <w:pPr>
        <w:pStyle w:val="BodyText"/>
        <w:kinsoku w:val="0"/>
        <w:overflowPunct w:val="0"/>
        <w:ind w:right="897"/>
        <w:jc w:val="both"/>
      </w:pPr>
    </w:p>
    <w:p w14:paraId="335EACA1" w14:textId="77777777" w:rsidR="0070589C" w:rsidRDefault="0070589C" w:rsidP="0070589C">
      <w:pPr>
        <w:pStyle w:val="BodyText"/>
        <w:kinsoku w:val="0"/>
        <w:overflowPunct w:val="0"/>
        <w:ind w:right="540"/>
        <w:jc w:val="both"/>
      </w:pPr>
      <w:r>
        <w:tab/>
        <w:t xml:space="preserve">This section provides an overview of the lengthy process involved with selecting and conducting remedial actions under CERCLA.  As noted, completion of an RI/FS often takes five or more years.  If that seems long, completion of all remedial action at a site is often measured in decades.  And even after all remedial action has been completed, the site may remain subject to “five-year reviews” to ensure the success of the remedy or to identify any continuing problems to fix.  </w:t>
      </w:r>
    </w:p>
    <w:p w14:paraId="52116BC3" w14:textId="77777777" w:rsidR="0070589C" w:rsidRDefault="0070589C" w:rsidP="0070589C">
      <w:pPr>
        <w:pStyle w:val="BodyText"/>
        <w:kinsoku w:val="0"/>
        <w:overflowPunct w:val="0"/>
        <w:ind w:right="897" w:firstLine="720"/>
        <w:jc w:val="both"/>
      </w:pPr>
    </w:p>
    <w:p w14:paraId="015FF86D" w14:textId="77777777" w:rsidR="0070589C" w:rsidRPr="003A4570" w:rsidRDefault="0070589C" w:rsidP="0070589C">
      <w:pPr>
        <w:pStyle w:val="BodyText"/>
        <w:kinsoku w:val="0"/>
        <w:overflowPunct w:val="0"/>
        <w:ind w:right="897"/>
        <w:jc w:val="center"/>
        <w:rPr>
          <w:b/>
          <w:i/>
          <w:sz w:val="28"/>
          <w:szCs w:val="28"/>
        </w:rPr>
      </w:pPr>
      <w:r w:rsidRPr="003A4570">
        <w:rPr>
          <w:b/>
          <w:i/>
          <w:sz w:val="28"/>
          <w:szCs w:val="28"/>
        </w:rPr>
        <w:t>Notes and Questions</w:t>
      </w:r>
    </w:p>
    <w:p w14:paraId="59CA263E" w14:textId="77777777" w:rsidR="0070589C" w:rsidRDefault="0070589C" w:rsidP="0070589C">
      <w:pPr>
        <w:pStyle w:val="BodyText"/>
        <w:kinsoku w:val="0"/>
        <w:overflowPunct w:val="0"/>
        <w:ind w:right="897" w:firstLine="360"/>
        <w:jc w:val="both"/>
      </w:pPr>
    </w:p>
    <w:p w14:paraId="3B29FEA7" w14:textId="7EFC408D" w:rsidR="0070589C" w:rsidRDefault="0070589C" w:rsidP="0070589C">
      <w:pPr>
        <w:pStyle w:val="BodyText"/>
        <w:kinsoku w:val="0"/>
        <w:overflowPunct w:val="0"/>
        <w:ind w:right="540" w:firstLine="720"/>
        <w:jc w:val="both"/>
      </w:pPr>
      <w:r>
        <w:rPr>
          <w:b/>
        </w:rPr>
        <w:t>1.  How clean is clean?</w:t>
      </w:r>
      <w:r>
        <w:t xml:space="preserve"> For many community members, the question of how much contamination to remove from their community would draw the answer, “All of it.” To be effective advocates, however, students </w:t>
      </w:r>
      <w:r w:rsidR="007062B8">
        <w:t xml:space="preserve">must </w:t>
      </w:r>
      <w:r>
        <w:t>understand that “all of it” is often not realistic, possible, or even desirable from a community standpoint.  To illustrate the vexing nature of this problem, instructors may wish to discuss the following scenarios:</w:t>
      </w:r>
    </w:p>
    <w:p w14:paraId="551B21B6" w14:textId="77777777" w:rsidR="0070589C" w:rsidRDefault="0070589C" w:rsidP="0070589C">
      <w:pPr>
        <w:pStyle w:val="BodyText"/>
        <w:kinsoku w:val="0"/>
        <w:overflowPunct w:val="0"/>
        <w:ind w:right="897" w:firstLine="720"/>
        <w:jc w:val="both"/>
      </w:pPr>
    </w:p>
    <w:p w14:paraId="0CE9232E" w14:textId="77777777" w:rsidR="0070589C" w:rsidRDefault="0070589C" w:rsidP="0070589C">
      <w:pPr>
        <w:pStyle w:val="BodyText"/>
        <w:numPr>
          <w:ilvl w:val="0"/>
          <w:numId w:val="21"/>
        </w:numPr>
        <w:kinsoku w:val="0"/>
        <w:overflowPunct w:val="0"/>
        <w:ind w:right="897"/>
        <w:jc w:val="both"/>
      </w:pPr>
      <w:r>
        <w:t xml:space="preserve">Lead from an old lead smelter in East Chicago comingles with lead from lead-based paint and lead from decades of use of leaded gasoline to produce high levels of lead in soils across a sprawling urban environment.  </w:t>
      </w:r>
    </w:p>
    <w:p w14:paraId="66F749F1" w14:textId="77777777" w:rsidR="0070589C" w:rsidRDefault="0070589C" w:rsidP="0070589C">
      <w:pPr>
        <w:pStyle w:val="BodyText"/>
        <w:kinsoku w:val="0"/>
        <w:overflowPunct w:val="0"/>
        <w:ind w:right="897" w:firstLine="720"/>
        <w:jc w:val="both"/>
      </w:pPr>
    </w:p>
    <w:p w14:paraId="37DC7F2A" w14:textId="77777777" w:rsidR="0070589C" w:rsidRDefault="0070589C" w:rsidP="0070589C">
      <w:pPr>
        <w:pStyle w:val="BodyText"/>
        <w:numPr>
          <w:ilvl w:val="0"/>
          <w:numId w:val="21"/>
        </w:numPr>
        <w:kinsoku w:val="0"/>
        <w:overflowPunct w:val="0"/>
        <w:ind w:right="897"/>
        <w:jc w:val="both"/>
      </w:pPr>
      <w:r>
        <w:t>Lead from historic mining and milling activities comingles with lead that is naturally occurring in a naturally mineralized district.</w:t>
      </w:r>
    </w:p>
    <w:p w14:paraId="21073538" w14:textId="77777777" w:rsidR="0070589C" w:rsidRDefault="0070589C" w:rsidP="0070589C">
      <w:pPr>
        <w:pStyle w:val="BodyText"/>
        <w:kinsoku w:val="0"/>
        <w:overflowPunct w:val="0"/>
        <w:ind w:right="897" w:firstLine="720"/>
        <w:jc w:val="both"/>
      </w:pPr>
    </w:p>
    <w:p w14:paraId="2C915958" w14:textId="77777777" w:rsidR="0070589C" w:rsidRDefault="0070589C" w:rsidP="0070589C">
      <w:pPr>
        <w:pStyle w:val="BodyText"/>
        <w:numPr>
          <w:ilvl w:val="0"/>
          <w:numId w:val="21"/>
        </w:numPr>
        <w:kinsoku w:val="0"/>
        <w:overflowPunct w:val="0"/>
        <w:ind w:right="897"/>
        <w:jc w:val="both"/>
      </w:pPr>
      <w:r>
        <w:t>Acid mine drainage is produced every time that rain or snowmelt percolates through miles of old mine tunnels and fractured bedrock.</w:t>
      </w:r>
    </w:p>
    <w:p w14:paraId="5F1D610E" w14:textId="77777777" w:rsidR="0070589C" w:rsidRDefault="0070589C" w:rsidP="0070589C">
      <w:pPr>
        <w:pStyle w:val="BodyText"/>
        <w:kinsoku w:val="0"/>
        <w:overflowPunct w:val="0"/>
        <w:ind w:right="897" w:firstLine="720"/>
        <w:jc w:val="both"/>
      </w:pPr>
    </w:p>
    <w:p w14:paraId="052138FF" w14:textId="77777777" w:rsidR="0070589C" w:rsidRDefault="0070589C" w:rsidP="0070589C">
      <w:pPr>
        <w:pStyle w:val="BodyText"/>
        <w:numPr>
          <w:ilvl w:val="0"/>
          <w:numId w:val="21"/>
        </w:numPr>
        <w:kinsoku w:val="0"/>
        <w:overflowPunct w:val="0"/>
        <w:ind w:right="897"/>
        <w:jc w:val="both"/>
      </w:pPr>
      <w:r>
        <w:t>Homes and freeways are built atop foundations of excavated waste rock.</w:t>
      </w:r>
    </w:p>
    <w:p w14:paraId="6694391E" w14:textId="77777777" w:rsidR="0070589C" w:rsidRDefault="0070589C" w:rsidP="0070589C">
      <w:pPr>
        <w:pStyle w:val="BodyText"/>
        <w:kinsoku w:val="0"/>
        <w:overflowPunct w:val="0"/>
        <w:ind w:right="897" w:firstLine="720"/>
        <w:jc w:val="both"/>
      </w:pPr>
    </w:p>
    <w:p w14:paraId="5F6033B9" w14:textId="77777777" w:rsidR="0070589C" w:rsidRDefault="0070589C" w:rsidP="0070589C">
      <w:pPr>
        <w:pStyle w:val="BodyText"/>
        <w:numPr>
          <w:ilvl w:val="0"/>
          <w:numId w:val="21"/>
        </w:numPr>
        <w:kinsoku w:val="0"/>
        <w:overflowPunct w:val="0"/>
        <w:ind w:right="897"/>
        <w:jc w:val="both"/>
      </w:pPr>
      <w:r>
        <w:t>Excavation of contaminated soil would disturb a sacred site for a local Native tribe.</w:t>
      </w:r>
    </w:p>
    <w:p w14:paraId="08AD3BC4" w14:textId="77777777" w:rsidR="0070589C" w:rsidRDefault="0070589C" w:rsidP="0070589C">
      <w:pPr>
        <w:pStyle w:val="BodyText"/>
        <w:kinsoku w:val="0"/>
        <w:overflowPunct w:val="0"/>
        <w:ind w:right="897" w:firstLine="720"/>
        <w:jc w:val="both"/>
      </w:pPr>
    </w:p>
    <w:p w14:paraId="78DA95D5" w14:textId="77777777" w:rsidR="0070589C" w:rsidRDefault="0070589C" w:rsidP="0070589C">
      <w:pPr>
        <w:pStyle w:val="BodyText"/>
        <w:numPr>
          <w:ilvl w:val="0"/>
          <w:numId w:val="21"/>
        </w:numPr>
        <w:kinsoku w:val="0"/>
        <w:overflowPunct w:val="0"/>
        <w:ind w:right="897"/>
        <w:jc w:val="both"/>
      </w:pPr>
      <w:r>
        <w:t>Excavation of contaminated soil would disturb an active nest for an endangered Peregrine falcon.</w:t>
      </w:r>
    </w:p>
    <w:p w14:paraId="74B2FF17" w14:textId="77777777" w:rsidR="0070589C" w:rsidRDefault="0070589C" w:rsidP="0070589C">
      <w:pPr>
        <w:pStyle w:val="BodyText"/>
        <w:kinsoku w:val="0"/>
        <w:overflowPunct w:val="0"/>
        <w:ind w:right="897" w:firstLine="720"/>
        <w:jc w:val="both"/>
      </w:pPr>
    </w:p>
    <w:p w14:paraId="11F11928" w14:textId="77777777" w:rsidR="0070589C" w:rsidRDefault="0070589C" w:rsidP="0070589C">
      <w:pPr>
        <w:pStyle w:val="BodyText"/>
        <w:numPr>
          <w:ilvl w:val="0"/>
          <w:numId w:val="21"/>
        </w:numPr>
        <w:kinsoku w:val="0"/>
        <w:overflowPunct w:val="0"/>
        <w:ind w:right="897"/>
        <w:jc w:val="both"/>
      </w:pPr>
      <w:r>
        <w:t>Excavation of contaminated soil would require 12,000 trips in heavy trucks through a small town to the nearest licensed waste repository.</w:t>
      </w:r>
    </w:p>
    <w:p w14:paraId="695EDA7C" w14:textId="77777777" w:rsidR="0070589C" w:rsidRDefault="0070589C" w:rsidP="0070589C">
      <w:pPr>
        <w:pStyle w:val="BodyText"/>
        <w:kinsoku w:val="0"/>
        <w:overflowPunct w:val="0"/>
        <w:ind w:right="897" w:firstLine="720"/>
        <w:jc w:val="both"/>
      </w:pPr>
    </w:p>
    <w:p w14:paraId="76F0C7C5" w14:textId="77777777" w:rsidR="0070589C" w:rsidRDefault="0070589C" w:rsidP="0070589C">
      <w:pPr>
        <w:pStyle w:val="BodyText"/>
        <w:numPr>
          <w:ilvl w:val="0"/>
          <w:numId w:val="21"/>
        </w:numPr>
        <w:kinsoku w:val="0"/>
        <w:overflowPunct w:val="0"/>
        <w:ind w:right="897"/>
        <w:jc w:val="both"/>
      </w:pPr>
      <w:r>
        <w:t xml:space="preserve">The number of truck-trips necessary to remove all the contamination is estimated to result in 2.3 traffic fatalities.  </w:t>
      </w:r>
    </w:p>
    <w:p w14:paraId="0E2CD305" w14:textId="77777777" w:rsidR="0070589C" w:rsidRDefault="0070589C" w:rsidP="0070589C">
      <w:pPr>
        <w:pStyle w:val="ListParagraph"/>
      </w:pPr>
    </w:p>
    <w:p w14:paraId="68A8236E" w14:textId="09730156" w:rsidR="0070589C" w:rsidRDefault="0070589C" w:rsidP="0070589C">
      <w:pPr>
        <w:pStyle w:val="BodyText"/>
        <w:numPr>
          <w:ilvl w:val="0"/>
          <w:numId w:val="21"/>
        </w:numPr>
        <w:kinsoku w:val="0"/>
        <w:overflowPunct w:val="0"/>
        <w:ind w:right="897"/>
        <w:jc w:val="both"/>
      </w:pPr>
      <w:r>
        <w:t xml:space="preserve">The nearest waste repository is located in a predominantly </w:t>
      </w:r>
      <w:r w:rsidR="007F490C">
        <w:t>Black</w:t>
      </w:r>
      <w:r w:rsidR="00527837">
        <w:t xml:space="preserve"> co</w:t>
      </w:r>
      <w:r>
        <w:t xml:space="preserve">mmunity.  </w:t>
      </w:r>
    </w:p>
    <w:p w14:paraId="15643125" w14:textId="77777777" w:rsidR="0070589C" w:rsidRDefault="0070589C" w:rsidP="0070589C">
      <w:pPr>
        <w:pStyle w:val="BodyText"/>
        <w:kinsoku w:val="0"/>
        <w:overflowPunct w:val="0"/>
        <w:ind w:right="897" w:firstLine="720"/>
        <w:jc w:val="both"/>
      </w:pPr>
    </w:p>
    <w:p w14:paraId="3FBE076C" w14:textId="77777777" w:rsidR="0070589C" w:rsidRDefault="0070589C" w:rsidP="0070589C">
      <w:pPr>
        <w:pStyle w:val="BodyText"/>
        <w:kinsoku w:val="0"/>
        <w:overflowPunct w:val="0"/>
        <w:ind w:right="540" w:firstLine="720"/>
        <w:jc w:val="both"/>
      </w:pPr>
      <w:r>
        <w:t>On the last not-so-hypothetical, students may recall from Chapter 1 that the action generating all the local resistance in Warren County was actually part of a state endeavor to clean up and properly dispose of PCB waste that had been illegally dumped across the State of North Carolina.  If “all” of that PCB waste should be cleaned up, then where should it go?  If, on the other hand, something less than “all” of the waste should be cleaned up, then how should the standard for cleanup be set?  In other words, how clean is clean?  This is where quantitative risk assessment, as investigated in Chapter 3, and together with all of its objective and subjective analysis, may become a determining factor.</w:t>
      </w:r>
    </w:p>
    <w:p w14:paraId="45020533" w14:textId="75715C2F" w:rsidR="004406B0" w:rsidRDefault="00060EFB" w:rsidP="0070589C">
      <w:pPr>
        <w:pStyle w:val="BodyText"/>
        <w:kinsoku w:val="0"/>
        <w:overflowPunct w:val="0"/>
        <w:ind w:right="540" w:firstLine="720"/>
        <w:jc w:val="both"/>
      </w:pPr>
      <w:r>
        <w:t xml:space="preserve">To address the questions concerning cancer and non-cancer risks, instructors </w:t>
      </w:r>
      <w:r w:rsidR="00177AF0">
        <w:t xml:space="preserve">might begin with observations that </w:t>
      </w:r>
      <w:r w:rsidR="00284801">
        <w:t xml:space="preserve">disease </w:t>
      </w:r>
      <w:r w:rsidR="009B299D">
        <w:t xml:space="preserve">is a </w:t>
      </w:r>
      <w:r w:rsidR="000729EF">
        <w:t xml:space="preserve">fact of life.  </w:t>
      </w:r>
      <w:r w:rsidR="00DB029E">
        <w:t xml:space="preserve">The goal of cleanup is not to eliminate </w:t>
      </w:r>
      <w:r w:rsidR="009B299D">
        <w:t xml:space="preserve">health concerns but to </w:t>
      </w:r>
      <w:r w:rsidR="004F4535">
        <w:t xml:space="preserve">minimize </w:t>
      </w:r>
      <w:r w:rsidR="00414776">
        <w:t xml:space="preserve">or reduce </w:t>
      </w:r>
      <w:r w:rsidR="004F4535">
        <w:t xml:space="preserve">adverse health impacts from exposure to contaminants.  </w:t>
      </w:r>
      <w:r w:rsidR="003B5A1C">
        <w:t xml:space="preserve">That goal may be achieved in many ways, such as removing contaminants from a residential area, reducing </w:t>
      </w:r>
      <w:r w:rsidR="00B015B1">
        <w:t xml:space="preserve">residential </w:t>
      </w:r>
      <w:r w:rsidR="003B5A1C">
        <w:t xml:space="preserve">exposures through land use controls, or removing people from </w:t>
      </w:r>
      <w:r w:rsidR="00510914">
        <w:t>contamination.  The latter two measure</w:t>
      </w:r>
      <w:r w:rsidR="00B015B1">
        <w:t>s are addressed through the notes that follow on institutional controls and relocation.</w:t>
      </w:r>
    </w:p>
    <w:p w14:paraId="782F8FCD" w14:textId="77777777" w:rsidR="0070589C" w:rsidRDefault="0070589C" w:rsidP="0070589C">
      <w:pPr>
        <w:pStyle w:val="BodyText"/>
        <w:kinsoku w:val="0"/>
        <w:overflowPunct w:val="0"/>
        <w:ind w:right="897" w:firstLine="720"/>
        <w:jc w:val="both"/>
      </w:pPr>
    </w:p>
    <w:p w14:paraId="53AC95F2" w14:textId="050DF608" w:rsidR="0070589C" w:rsidRDefault="0070589C" w:rsidP="0070589C">
      <w:pPr>
        <w:pStyle w:val="BodyText"/>
        <w:kinsoku w:val="0"/>
        <w:overflowPunct w:val="0"/>
        <w:ind w:right="540" w:firstLine="720"/>
        <w:jc w:val="both"/>
      </w:pPr>
      <w:r w:rsidRPr="00096B58">
        <w:rPr>
          <w:b/>
        </w:rPr>
        <w:t xml:space="preserve">   2.  Institutional </w:t>
      </w:r>
      <w:r w:rsidR="00CB3E51">
        <w:rPr>
          <w:b/>
        </w:rPr>
        <w:t>c</w:t>
      </w:r>
      <w:r w:rsidRPr="00096B58">
        <w:rPr>
          <w:b/>
        </w:rPr>
        <w:t>ontrols.</w:t>
      </w:r>
      <w:r>
        <w:t xml:space="preserve">  This lengthy note reviews the evolution of institutional controls as a possible remedy for contamination. The concept of institutional controls is in part offered here as a counterpoint to the previous note and presumption that cleanup will include some element of excavation and removal of contamination.  The basic idea of institutional controls is that contamination will remain in place, at least for some period of time, but that the public health may be protected by directing people away from exposure to the contamination.  The questions at the conclusion of this chapter are mostly designed to engage students with critical thinking on the use of institutional controls, particularly in the context of a community already experiencing environmental injustice.  For example, an institutional control forbidding consumption of fish from a contaminated waterway is not likely to deter the homeless or members of </w:t>
      </w:r>
      <w:r w:rsidR="00392B9A">
        <w:t>I</w:t>
      </w:r>
      <w:r>
        <w:t xml:space="preserve">ndigenous communities from taking and eating fish from that waterbody.  </w:t>
      </w:r>
      <w:r w:rsidR="006201C2">
        <w:t xml:space="preserve">In fact, it may just perpetuate </w:t>
      </w:r>
      <w:r w:rsidR="00F77B0E">
        <w:t>concerns for distributive justice (allowing contamination to continue</w:t>
      </w:r>
      <w:r w:rsidR="0053170F">
        <w:t xml:space="preserve"> disproportionate impacts) or corrective justice (delaying final cleanup).  </w:t>
      </w:r>
    </w:p>
    <w:p w14:paraId="1F01431A" w14:textId="77777777" w:rsidR="0070589C" w:rsidRDefault="0070589C" w:rsidP="0070589C">
      <w:pPr>
        <w:pStyle w:val="BodyText"/>
        <w:kinsoku w:val="0"/>
        <w:overflowPunct w:val="0"/>
        <w:ind w:right="897" w:firstLine="360"/>
        <w:jc w:val="both"/>
      </w:pPr>
    </w:p>
    <w:p w14:paraId="0E77FC4A" w14:textId="77777777" w:rsidR="0070589C" w:rsidRDefault="0070589C" w:rsidP="0070589C">
      <w:pPr>
        <w:ind w:right="540"/>
        <w:jc w:val="both"/>
        <w:rPr>
          <w:sz w:val="24"/>
          <w:szCs w:val="24"/>
        </w:rPr>
      </w:pPr>
      <w:r>
        <w:rPr>
          <w:b/>
        </w:rPr>
        <w:t xml:space="preserve"> </w:t>
      </w:r>
      <w:r>
        <w:rPr>
          <w:b/>
        </w:rPr>
        <w:tab/>
      </w:r>
      <w:r>
        <w:rPr>
          <w:b/>
          <w:sz w:val="24"/>
          <w:szCs w:val="24"/>
        </w:rPr>
        <w:t>3.  Relocation</w:t>
      </w:r>
      <w:r w:rsidRPr="00623B1D">
        <w:rPr>
          <w:b/>
          <w:sz w:val="24"/>
          <w:szCs w:val="24"/>
        </w:rPr>
        <w:t>.</w:t>
      </w:r>
      <w:r>
        <w:rPr>
          <w:sz w:val="24"/>
          <w:szCs w:val="24"/>
        </w:rPr>
        <w:t xml:space="preserve">  Relocation – that is, moving people away from a contaminated area, either temporarily or permanently – is a remedial option explicitly authorized by CERCLA.  See CERCLA § 101(24) (definition of “remedial action” includes “permanent relocation of residents and businesses and community facilities”). However, depending on the particular community involved, EJ advocates may take opposite views on relocation as a desirable option.  Some communities, such as those affected by contaminated sites in Portsmouth, Virginia, and Pensacola, Florida, fought for years demanding relocation away from their contaminated homes.  On the other hand, more communities have probably opposed any suggestion that the government should uproot their households and thus destroy their community bonds and indeed their way of life.  Instructors might invite students to engage in some brainstorming here on what factors would make permanent relocation as a remedy more or less desired by individual communities.</w:t>
      </w:r>
    </w:p>
    <w:p w14:paraId="2C164D12" w14:textId="77777777" w:rsidR="0070589C" w:rsidRDefault="0070589C" w:rsidP="0070589C">
      <w:pPr>
        <w:ind w:right="828"/>
        <w:jc w:val="both"/>
        <w:rPr>
          <w:sz w:val="24"/>
          <w:szCs w:val="24"/>
        </w:rPr>
      </w:pPr>
    </w:p>
    <w:p w14:paraId="6E976921" w14:textId="77777777" w:rsidR="0070589C" w:rsidRDefault="0070589C" w:rsidP="0070589C">
      <w:pPr>
        <w:ind w:right="540" w:firstLine="360"/>
        <w:jc w:val="both"/>
        <w:rPr>
          <w:sz w:val="24"/>
          <w:szCs w:val="24"/>
        </w:rPr>
      </w:pPr>
      <w:r>
        <w:rPr>
          <w:sz w:val="24"/>
          <w:szCs w:val="24"/>
        </w:rPr>
        <w:t xml:space="preserve">Instructors should be quick to point out that almost all relocation is temporary.  The </w:t>
      </w:r>
      <w:r>
        <w:rPr>
          <w:sz w:val="24"/>
          <w:szCs w:val="24"/>
        </w:rPr>
        <w:lastRenderedPageBreak/>
        <w:t xml:space="preserve">typical process involves moving residents out of their permanent home for a short period, such as two weeks.  The residents are entitled to alternate lodging plus expenses while in relocation.  Many times, unfortunately, residents in relocation will not be advised of their rights during relocation, hence the reference here to the Uniform Relocation Act and implementing rules and guidance.  </w:t>
      </w:r>
    </w:p>
    <w:p w14:paraId="41A8FCAB" w14:textId="77777777" w:rsidR="0070589C" w:rsidRDefault="0070589C" w:rsidP="0070589C">
      <w:pPr>
        <w:ind w:right="828" w:firstLine="360"/>
        <w:jc w:val="both"/>
        <w:rPr>
          <w:sz w:val="24"/>
          <w:szCs w:val="24"/>
        </w:rPr>
      </w:pPr>
    </w:p>
    <w:p w14:paraId="0AF1F255" w14:textId="1E6D7379" w:rsidR="0070589C" w:rsidRDefault="0070589C" w:rsidP="0070589C">
      <w:pPr>
        <w:ind w:right="540" w:firstLine="360"/>
        <w:jc w:val="both"/>
        <w:rPr>
          <w:sz w:val="24"/>
          <w:szCs w:val="24"/>
        </w:rPr>
      </w:pPr>
      <w:r w:rsidRPr="005C0386">
        <w:rPr>
          <w:b/>
          <w:sz w:val="24"/>
          <w:szCs w:val="24"/>
        </w:rPr>
        <w:t>4.  Debunking “Superfund stigma.”</w:t>
      </w:r>
      <w:r>
        <w:rPr>
          <w:sz w:val="24"/>
          <w:szCs w:val="24"/>
        </w:rPr>
        <w:t xml:space="preserve">  Recall the National Law Journal criticism that listing sites on the National Priorities List takes longer in minority communities.  The critique seemed to assume that every community wanted an NPL designation, and as quickly as possible.  That assumption was certainly inaccurate, with</w:t>
      </w:r>
      <w:r w:rsidR="00055CB7">
        <w:rPr>
          <w:sz w:val="24"/>
          <w:szCs w:val="24"/>
        </w:rPr>
        <w:t xml:space="preserve"> some</w:t>
      </w:r>
      <w:r>
        <w:rPr>
          <w:sz w:val="24"/>
          <w:szCs w:val="24"/>
        </w:rPr>
        <w:t xml:space="preserve"> NPL proposals eliciting death threats </w:t>
      </w:r>
      <w:r w:rsidR="00F305BE">
        <w:rPr>
          <w:sz w:val="24"/>
          <w:szCs w:val="24"/>
        </w:rPr>
        <w:t xml:space="preserve">rather than </w:t>
      </w:r>
      <w:r>
        <w:rPr>
          <w:sz w:val="24"/>
          <w:szCs w:val="24"/>
        </w:rPr>
        <w:t>community support.  But after 40 years of NPL designations, studies clearly indicate that NPL designations do lead to community cleanups and rising property values.  As noted, poor homeowners may have the most to gain from NPL listings in terms of accretions in home value.</w:t>
      </w:r>
    </w:p>
    <w:p w14:paraId="7EEA61EB" w14:textId="77777777" w:rsidR="0070589C" w:rsidRDefault="0070589C" w:rsidP="0070589C">
      <w:pPr>
        <w:ind w:right="828" w:firstLine="360"/>
        <w:jc w:val="both"/>
        <w:rPr>
          <w:sz w:val="24"/>
          <w:szCs w:val="24"/>
        </w:rPr>
      </w:pPr>
    </w:p>
    <w:p w14:paraId="00BB79AC" w14:textId="1017D347" w:rsidR="0070589C" w:rsidRPr="00623B1D" w:rsidRDefault="0070589C" w:rsidP="0070589C">
      <w:pPr>
        <w:ind w:right="540" w:firstLine="360"/>
        <w:jc w:val="both"/>
        <w:rPr>
          <w:sz w:val="24"/>
          <w:szCs w:val="24"/>
        </w:rPr>
      </w:pPr>
      <w:r w:rsidRPr="000F0905">
        <w:rPr>
          <w:b/>
          <w:sz w:val="24"/>
          <w:szCs w:val="24"/>
        </w:rPr>
        <w:t>5.  Gentrification.</w:t>
      </w:r>
      <w:r>
        <w:rPr>
          <w:sz w:val="24"/>
          <w:szCs w:val="24"/>
        </w:rPr>
        <w:t xml:space="preserve">  The note acknowledges one potential downside from community cleanup and rising property values.  Concerns about gentrification associated with cleanup have been recognized by EJ advocates for</w:t>
      </w:r>
      <w:r w:rsidR="008521EA">
        <w:rPr>
          <w:sz w:val="24"/>
          <w:szCs w:val="24"/>
        </w:rPr>
        <w:t xml:space="preserve"> </w:t>
      </w:r>
      <w:r>
        <w:rPr>
          <w:sz w:val="24"/>
          <w:szCs w:val="24"/>
        </w:rPr>
        <w:t xml:space="preserve">decades, as exemplified by the NEJAC’s 1996 report, </w:t>
      </w:r>
      <w:r w:rsidRPr="000F0905">
        <w:rPr>
          <w:i/>
          <w:sz w:val="24"/>
          <w:szCs w:val="24"/>
        </w:rPr>
        <w:t>The Search for Authentic Signs of Hope.</w:t>
      </w:r>
      <w:r>
        <w:rPr>
          <w:sz w:val="24"/>
          <w:szCs w:val="24"/>
        </w:rPr>
        <w:t xml:space="preserve">  </w:t>
      </w:r>
      <w:r w:rsidR="00867803">
        <w:rPr>
          <w:sz w:val="24"/>
          <w:szCs w:val="24"/>
        </w:rPr>
        <w:t xml:space="preserve">Since the 1996 report, gentrification associated with cleanup remains a growing problem. In the </w:t>
      </w:r>
      <w:r w:rsidR="00683B9A">
        <w:rPr>
          <w:sz w:val="24"/>
          <w:szCs w:val="24"/>
        </w:rPr>
        <w:t xml:space="preserve">case of the Gowanus Canal Superfund Site in Brooklyn, luxury condos and a Whole Foods have already moved </w:t>
      </w:r>
      <w:r w:rsidR="00BB2D5A">
        <w:rPr>
          <w:sz w:val="24"/>
          <w:szCs w:val="24"/>
        </w:rPr>
        <w:t xml:space="preserve">in long before cleanup operations are complete.  </w:t>
      </w:r>
      <w:r w:rsidR="00867803">
        <w:rPr>
          <w:sz w:val="24"/>
          <w:szCs w:val="24"/>
        </w:rPr>
        <w:t xml:space="preserve"> </w:t>
      </w:r>
      <w:r w:rsidR="00BB2D5A">
        <w:rPr>
          <w:sz w:val="24"/>
          <w:szCs w:val="24"/>
        </w:rPr>
        <w:t>At the same time, many tools for addressing gentrification</w:t>
      </w:r>
      <w:r w:rsidR="00EF241B">
        <w:rPr>
          <w:sz w:val="24"/>
          <w:szCs w:val="24"/>
        </w:rPr>
        <w:t>, such as Community Land Trusts,</w:t>
      </w:r>
      <w:r w:rsidR="00BB2D5A">
        <w:rPr>
          <w:sz w:val="24"/>
          <w:szCs w:val="24"/>
        </w:rPr>
        <w:t xml:space="preserve"> have been developed</w:t>
      </w:r>
      <w:r w:rsidR="000221AE">
        <w:rPr>
          <w:sz w:val="24"/>
          <w:szCs w:val="24"/>
        </w:rPr>
        <w:t>, refined, and deployed</w:t>
      </w:r>
      <w:r w:rsidR="00A42D77">
        <w:rPr>
          <w:sz w:val="24"/>
          <w:szCs w:val="24"/>
        </w:rPr>
        <w:t xml:space="preserve"> in </w:t>
      </w:r>
      <w:r w:rsidR="00B80674">
        <w:rPr>
          <w:sz w:val="24"/>
          <w:szCs w:val="24"/>
        </w:rPr>
        <w:t>communities across the country</w:t>
      </w:r>
      <w:r w:rsidR="00C50B6E">
        <w:rPr>
          <w:sz w:val="24"/>
          <w:szCs w:val="24"/>
        </w:rPr>
        <w:t xml:space="preserve">.  </w:t>
      </w:r>
      <w:r w:rsidR="005C1188">
        <w:rPr>
          <w:sz w:val="24"/>
          <w:szCs w:val="24"/>
        </w:rPr>
        <w:t>Guidance documents on use of many of these tools are available on the companion website</w:t>
      </w:r>
      <w:r w:rsidR="00D850BA">
        <w:rPr>
          <w:sz w:val="24"/>
          <w:szCs w:val="24"/>
        </w:rPr>
        <w:t xml:space="preserve"> at </w:t>
      </w:r>
      <w:hyperlink r:id="rId32" w:history="1">
        <w:r w:rsidR="00D850BA" w:rsidRPr="00C67C0D">
          <w:rPr>
            <w:rStyle w:val="Hyperlink"/>
            <w:sz w:val="24"/>
            <w:szCs w:val="24"/>
          </w:rPr>
          <w:t>https://environmentaljusticebook.org/chapter-materials-chapter-8/</w:t>
        </w:r>
      </w:hyperlink>
      <w:r w:rsidR="00D850BA">
        <w:rPr>
          <w:sz w:val="24"/>
          <w:szCs w:val="24"/>
        </w:rPr>
        <w:t>.</w:t>
      </w:r>
      <w:r w:rsidR="003835D6">
        <w:rPr>
          <w:sz w:val="24"/>
          <w:szCs w:val="24"/>
        </w:rPr>
        <w:t xml:space="preserve"> </w:t>
      </w:r>
      <w:r w:rsidR="00D850BA">
        <w:rPr>
          <w:sz w:val="24"/>
          <w:szCs w:val="24"/>
        </w:rPr>
        <w:t xml:space="preserve"> </w:t>
      </w:r>
      <w:r w:rsidR="00C50B6E">
        <w:rPr>
          <w:sz w:val="24"/>
          <w:szCs w:val="24"/>
        </w:rPr>
        <w:t xml:space="preserve">Instructors may ask students to </w:t>
      </w:r>
      <w:r w:rsidR="00F23C24">
        <w:rPr>
          <w:sz w:val="24"/>
          <w:szCs w:val="24"/>
        </w:rPr>
        <w:t xml:space="preserve">research </w:t>
      </w:r>
      <w:r w:rsidR="0074789A">
        <w:rPr>
          <w:sz w:val="24"/>
          <w:szCs w:val="24"/>
        </w:rPr>
        <w:t xml:space="preserve">gentrification concerns </w:t>
      </w:r>
      <w:r w:rsidR="00F23C24">
        <w:rPr>
          <w:sz w:val="24"/>
          <w:szCs w:val="24"/>
        </w:rPr>
        <w:t xml:space="preserve">within their own communities and </w:t>
      </w:r>
      <w:r w:rsidR="0074789A">
        <w:rPr>
          <w:sz w:val="24"/>
          <w:szCs w:val="24"/>
        </w:rPr>
        <w:t xml:space="preserve">see which tools have been deployed or could be deployed </w:t>
      </w:r>
      <w:r w:rsidR="00EF241B">
        <w:rPr>
          <w:sz w:val="24"/>
          <w:szCs w:val="24"/>
        </w:rPr>
        <w:t xml:space="preserve">to address these concerns.  </w:t>
      </w:r>
      <w:r w:rsidR="00F3087C">
        <w:rPr>
          <w:sz w:val="24"/>
          <w:szCs w:val="24"/>
        </w:rPr>
        <w:t xml:space="preserve"> </w:t>
      </w:r>
    </w:p>
    <w:p w14:paraId="3337745B" w14:textId="77777777" w:rsidR="0070589C" w:rsidRDefault="0070589C" w:rsidP="0070589C">
      <w:pPr>
        <w:pStyle w:val="ListParagraph"/>
        <w:jc w:val="both"/>
      </w:pPr>
    </w:p>
    <w:p w14:paraId="71779BBA" w14:textId="77777777" w:rsidR="0070589C" w:rsidRPr="00BF5625" w:rsidRDefault="0070589C" w:rsidP="0070589C">
      <w:pPr>
        <w:pStyle w:val="BodyText"/>
        <w:kinsoku w:val="0"/>
        <w:overflowPunct w:val="0"/>
        <w:ind w:right="897" w:firstLine="360"/>
        <w:jc w:val="both"/>
        <w:rPr>
          <w:b/>
        </w:rPr>
      </w:pPr>
      <w:r>
        <w:rPr>
          <w:b/>
        </w:rPr>
        <w:t>C.  Fair Treatment and Meaning Involvement in Site Cleanup</w:t>
      </w:r>
    </w:p>
    <w:p w14:paraId="149E1DA8" w14:textId="77777777" w:rsidR="0070589C" w:rsidRDefault="0070589C" w:rsidP="0070589C">
      <w:pPr>
        <w:pStyle w:val="BodyText"/>
        <w:kinsoku w:val="0"/>
        <w:overflowPunct w:val="0"/>
        <w:ind w:right="897"/>
        <w:jc w:val="both"/>
      </w:pPr>
    </w:p>
    <w:p w14:paraId="10E46145" w14:textId="0154BAF9" w:rsidR="0070589C" w:rsidRPr="00D143E5" w:rsidRDefault="0070589C" w:rsidP="0070589C">
      <w:pPr>
        <w:pStyle w:val="BodyText"/>
        <w:numPr>
          <w:ilvl w:val="0"/>
          <w:numId w:val="22"/>
        </w:numPr>
        <w:kinsoku w:val="0"/>
        <w:overflowPunct w:val="0"/>
        <w:ind w:right="897"/>
        <w:jc w:val="both"/>
        <w:rPr>
          <w:b/>
        </w:rPr>
      </w:pPr>
      <w:r w:rsidRPr="00D143E5">
        <w:rPr>
          <w:b/>
        </w:rPr>
        <w:t xml:space="preserve"> Fair Treatment </w:t>
      </w:r>
      <w:r w:rsidR="00BA77F5">
        <w:rPr>
          <w:b/>
        </w:rPr>
        <w:t xml:space="preserve">and </w:t>
      </w:r>
      <w:r w:rsidRPr="00D143E5">
        <w:rPr>
          <w:b/>
        </w:rPr>
        <w:t>Contaminated Sites</w:t>
      </w:r>
    </w:p>
    <w:p w14:paraId="24744020" w14:textId="77777777" w:rsidR="0070589C" w:rsidRDefault="0070589C" w:rsidP="0070589C">
      <w:pPr>
        <w:pStyle w:val="BodyText"/>
        <w:kinsoku w:val="0"/>
        <w:overflowPunct w:val="0"/>
        <w:ind w:right="897" w:firstLine="360"/>
        <w:jc w:val="both"/>
      </w:pPr>
    </w:p>
    <w:p w14:paraId="1ACCDDF9" w14:textId="20E9E71E" w:rsidR="0070589C" w:rsidRDefault="0070589C" w:rsidP="0070589C">
      <w:pPr>
        <w:pStyle w:val="BodyText"/>
        <w:kinsoku w:val="0"/>
        <w:overflowPunct w:val="0"/>
        <w:ind w:right="540" w:firstLine="360"/>
        <w:jc w:val="both"/>
      </w:pPr>
      <w:r>
        <w:t xml:space="preserve">After the preceding basics of CERCLA process, this section endeavors to suggest ways that EJ advocates can use the CERCLA process to pursue the environmental justice aims of fair treatment and meaningful involvement.  The EJ aim of fair treatment may be hard to define, but “fair treatment” in the context of CERCLA may be particularly challenging because remedy selection is inherently context-specific.  Nevertheless, students should be encouraged to trust that they will know unfair treatment when they see it.  The case study presented in this section is one such “know it when you see it” moment, involving the same contaminants (volatile organics) from the same kind of facility (old drycleaners) in the same geography (Rio Grande valley) of the same </w:t>
      </w:r>
      <w:r w:rsidR="00AA5E82">
        <w:t>state (New Mexico</w:t>
      </w:r>
      <w:r>
        <w:t xml:space="preserve">).  The only appreciable difference is one community is larger, wealthier, more educated, and more organized (City of Albuquerque) while the </w:t>
      </w:r>
      <w:r w:rsidR="000E5774">
        <w:t xml:space="preserve">other </w:t>
      </w:r>
      <w:r>
        <w:t xml:space="preserve">community is smaller, poorer, less educated, and more diverse (City of Española).  After considering the differences in remedial outcomes between these two communities, students should be encouraged to identify and evaluate disparate </w:t>
      </w:r>
      <w:r>
        <w:lastRenderedPageBreak/>
        <w:t>treatment of contaminated sites in communities with which they are familiar.</w:t>
      </w:r>
    </w:p>
    <w:p w14:paraId="406C64D6" w14:textId="77777777" w:rsidR="0070589C" w:rsidRDefault="0070589C" w:rsidP="0070589C">
      <w:pPr>
        <w:pStyle w:val="BodyText"/>
        <w:kinsoku w:val="0"/>
        <w:overflowPunct w:val="0"/>
        <w:ind w:right="897"/>
        <w:jc w:val="both"/>
      </w:pPr>
    </w:p>
    <w:p w14:paraId="1965353E" w14:textId="77777777" w:rsidR="0070589C" w:rsidRPr="00B44868" w:rsidRDefault="0070589C" w:rsidP="0070589C">
      <w:pPr>
        <w:pStyle w:val="BodyText"/>
        <w:kinsoku w:val="0"/>
        <w:overflowPunct w:val="0"/>
        <w:ind w:right="897"/>
        <w:jc w:val="center"/>
        <w:rPr>
          <w:b/>
          <w:i/>
          <w:sz w:val="28"/>
          <w:szCs w:val="28"/>
        </w:rPr>
      </w:pPr>
      <w:r w:rsidRPr="00B44868">
        <w:rPr>
          <w:b/>
          <w:i/>
          <w:sz w:val="28"/>
          <w:szCs w:val="28"/>
        </w:rPr>
        <w:t>Notes and Questions</w:t>
      </w:r>
    </w:p>
    <w:p w14:paraId="5AB85AA5" w14:textId="77777777" w:rsidR="0070589C" w:rsidRDefault="0070589C" w:rsidP="0070589C">
      <w:pPr>
        <w:pStyle w:val="BodyText"/>
        <w:kinsoku w:val="0"/>
        <w:overflowPunct w:val="0"/>
        <w:ind w:right="897"/>
        <w:jc w:val="both"/>
      </w:pPr>
    </w:p>
    <w:p w14:paraId="6D7A64F3" w14:textId="3DF8266D" w:rsidR="0070589C" w:rsidRDefault="0070589C" w:rsidP="0070589C">
      <w:pPr>
        <w:pStyle w:val="BodyText"/>
        <w:kinsoku w:val="0"/>
        <w:overflowPunct w:val="0"/>
        <w:ind w:right="540" w:firstLine="720"/>
        <w:jc w:val="both"/>
      </w:pPr>
      <w:r w:rsidRPr="002E1539">
        <w:rPr>
          <w:b/>
        </w:rPr>
        <w:t>1.</w:t>
      </w:r>
      <w:r>
        <w:t xml:space="preserve">  </w:t>
      </w:r>
      <w:r>
        <w:rPr>
          <w:b/>
        </w:rPr>
        <w:t xml:space="preserve">What now? </w:t>
      </w:r>
      <w:r>
        <w:t xml:space="preserve"> </w:t>
      </w:r>
      <w:r w:rsidR="005F47E8">
        <w:t xml:space="preserve">The note </w:t>
      </w:r>
      <w:r w:rsidR="00DE39F0">
        <w:t xml:space="preserve">suggests that one possible </w:t>
      </w:r>
      <w:r w:rsidR="006B3888">
        <w:t xml:space="preserve">means </w:t>
      </w:r>
      <w:r w:rsidR="00492064">
        <w:t xml:space="preserve">for </w:t>
      </w:r>
      <w:r w:rsidR="006B3888">
        <w:t xml:space="preserve">challenging </w:t>
      </w:r>
      <w:r w:rsidR="00DE39F0">
        <w:t xml:space="preserve">“unfair” treatment in </w:t>
      </w:r>
      <w:r w:rsidR="007E5904">
        <w:t xml:space="preserve">CERCLA cleanup </w:t>
      </w:r>
      <w:r w:rsidR="006B3888">
        <w:t>is the five-year review</w:t>
      </w:r>
      <w:r w:rsidR="00492064">
        <w:t xml:space="preserve"> process, </w:t>
      </w:r>
      <w:r w:rsidR="000B2EC5">
        <w:t xml:space="preserve">which </w:t>
      </w:r>
      <w:r w:rsidR="00F8609F">
        <w:t xml:space="preserve">requires periodic </w:t>
      </w:r>
      <w:r w:rsidR="000B2EC5">
        <w:t>reassessment and possible re</w:t>
      </w:r>
      <w:r w:rsidR="00717DFD">
        <w:t xml:space="preserve">opening of </w:t>
      </w:r>
      <w:r w:rsidR="00EA328E">
        <w:t xml:space="preserve">selected remedies that appear defective.  </w:t>
      </w:r>
    </w:p>
    <w:p w14:paraId="0B7FA588" w14:textId="77777777" w:rsidR="0070589C" w:rsidRDefault="0070589C" w:rsidP="0070589C">
      <w:pPr>
        <w:pStyle w:val="BodyText"/>
        <w:kinsoku w:val="0"/>
        <w:overflowPunct w:val="0"/>
        <w:ind w:right="897" w:firstLine="720"/>
        <w:jc w:val="both"/>
      </w:pPr>
    </w:p>
    <w:p w14:paraId="3AFE1192" w14:textId="77777777" w:rsidR="0070589C" w:rsidRDefault="0070589C" w:rsidP="0070589C">
      <w:pPr>
        <w:pStyle w:val="BodyText"/>
        <w:kinsoku w:val="0"/>
        <w:overflowPunct w:val="0"/>
        <w:ind w:right="897"/>
        <w:jc w:val="both"/>
      </w:pPr>
      <w:r>
        <w:rPr>
          <w:b/>
        </w:rPr>
        <w:tab/>
        <w:t>2.  The “blunt withdrawal” of jurisdiction</w:t>
      </w:r>
      <w:r w:rsidRPr="007D70A4">
        <w:rPr>
          <w:b/>
        </w:rPr>
        <w:t>.</w:t>
      </w:r>
      <w:r>
        <w:t xml:space="preserve">  This note is self-explanatory. </w:t>
      </w:r>
    </w:p>
    <w:p w14:paraId="3FF4EC99" w14:textId="77777777" w:rsidR="0070589C" w:rsidRDefault="0070589C" w:rsidP="0070589C">
      <w:pPr>
        <w:pStyle w:val="BodyText"/>
        <w:kinsoku w:val="0"/>
        <w:overflowPunct w:val="0"/>
        <w:ind w:right="897"/>
        <w:jc w:val="both"/>
      </w:pPr>
    </w:p>
    <w:p w14:paraId="32258C44" w14:textId="77777777" w:rsidR="0070589C" w:rsidRDefault="0070589C" w:rsidP="0070589C">
      <w:pPr>
        <w:pStyle w:val="BodyText"/>
        <w:kinsoku w:val="0"/>
        <w:overflowPunct w:val="0"/>
        <w:ind w:right="540" w:firstLine="720"/>
        <w:jc w:val="both"/>
      </w:pPr>
      <w:r>
        <w:rPr>
          <w:b/>
        </w:rPr>
        <w:t>3.  Constitutional challenges?</w:t>
      </w:r>
      <w:r>
        <w:t xml:space="preserve">  Students should gather here that while the case law on constitutional challenges to CERCLA remedies remains thin, the theoretical foundation for such constitutional challenges remains sound and available to a new generation of EJ advocates.   </w:t>
      </w:r>
    </w:p>
    <w:p w14:paraId="6582C8A5" w14:textId="77777777" w:rsidR="0070589C" w:rsidRDefault="0070589C" w:rsidP="0070589C">
      <w:pPr>
        <w:pStyle w:val="BodyText"/>
        <w:kinsoku w:val="0"/>
        <w:overflowPunct w:val="0"/>
        <w:ind w:right="897" w:firstLine="720"/>
        <w:jc w:val="both"/>
      </w:pPr>
    </w:p>
    <w:p w14:paraId="655847C4" w14:textId="1F31E45E" w:rsidR="0070589C" w:rsidRDefault="0070589C" w:rsidP="0070589C">
      <w:pPr>
        <w:pStyle w:val="BodyText"/>
        <w:kinsoku w:val="0"/>
        <w:overflowPunct w:val="0"/>
        <w:ind w:right="540" w:firstLine="720"/>
        <w:jc w:val="both"/>
      </w:pPr>
      <w:r w:rsidRPr="006B052A">
        <w:rPr>
          <w:b/>
        </w:rPr>
        <w:t xml:space="preserve">4.  </w:t>
      </w:r>
      <w:r>
        <w:rPr>
          <w:b/>
        </w:rPr>
        <w:t>Natural resource damages.</w:t>
      </w:r>
      <w:r>
        <w:t xml:space="preserve">  Natural resource damages remain one statutory pathway toward compensatory justice for communities impacted by contamination.  Instructors should be sure to note the much broader damage claims available under the Oil Pollution Act (1990) compared to CERCLA (1980).</w:t>
      </w:r>
      <w:r w:rsidR="00C53207">
        <w:t xml:space="preserve">  See discussion in Chapter 7, notes on </w:t>
      </w:r>
      <w:r w:rsidR="00DC669E">
        <w:t>“</w:t>
      </w:r>
      <w:r w:rsidR="00C53207">
        <w:t xml:space="preserve">Enforcement and </w:t>
      </w:r>
      <w:r w:rsidR="003A0021">
        <w:t>c</w:t>
      </w:r>
      <w:r w:rsidR="00C53207">
        <w:t xml:space="preserve">ompensation.”  </w:t>
      </w:r>
    </w:p>
    <w:p w14:paraId="06C624A4" w14:textId="77777777" w:rsidR="0070589C" w:rsidRDefault="0070589C" w:rsidP="0070589C">
      <w:pPr>
        <w:pStyle w:val="BodyText"/>
        <w:kinsoku w:val="0"/>
        <w:overflowPunct w:val="0"/>
        <w:ind w:right="897" w:firstLine="720"/>
        <w:jc w:val="both"/>
      </w:pPr>
    </w:p>
    <w:p w14:paraId="7A785368" w14:textId="5DEEFCBF" w:rsidR="0070589C" w:rsidRDefault="0070589C" w:rsidP="0070589C">
      <w:pPr>
        <w:pStyle w:val="BodyText"/>
        <w:kinsoku w:val="0"/>
        <w:overflowPunct w:val="0"/>
        <w:ind w:right="540" w:firstLine="720"/>
        <w:jc w:val="both"/>
      </w:pPr>
      <w:r>
        <w:rPr>
          <w:b/>
        </w:rPr>
        <w:t>5.  State authorities</w:t>
      </w:r>
      <w:r w:rsidRPr="00C503C2">
        <w:rPr>
          <w:b/>
        </w:rPr>
        <w:t>.</w:t>
      </w:r>
      <w:r>
        <w:t xml:space="preserve">  Instructors should also be sure to note the possibility of cleanup authorities and funding under state law.  Some states (e.g., Minnesota and Washington) have elaborate cleanup </w:t>
      </w:r>
      <w:r w:rsidR="00F0502B">
        <w:t>statutes</w:t>
      </w:r>
      <w:r>
        <w:t xml:space="preserve">, while other states (e.g., New Mexico) have none.   </w:t>
      </w:r>
    </w:p>
    <w:p w14:paraId="7524C6F2" w14:textId="77777777" w:rsidR="0070589C" w:rsidRDefault="0070589C" w:rsidP="0070589C">
      <w:pPr>
        <w:pStyle w:val="BodyText"/>
        <w:kinsoku w:val="0"/>
        <w:overflowPunct w:val="0"/>
        <w:ind w:right="897" w:firstLine="720"/>
        <w:jc w:val="both"/>
      </w:pPr>
    </w:p>
    <w:p w14:paraId="1EF13005" w14:textId="4AE2CA5D" w:rsidR="0070589C" w:rsidRPr="00363BE6" w:rsidRDefault="00930EE9" w:rsidP="00A45F02">
      <w:pPr>
        <w:widowControl/>
        <w:autoSpaceDE/>
        <w:autoSpaceDN/>
        <w:adjustRightInd/>
        <w:ind w:right="540" w:firstLine="720"/>
        <w:jc w:val="both"/>
        <w:rPr>
          <w:rFonts w:eastAsia="Times New Roman"/>
          <w:sz w:val="24"/>
          <w:szCs w:val="24"/>
        </w:rPr>
      </w:pPr>
      <w:r>
        <w:rPr>
          <w:sz w:val="24"/>
          <w:szCs w:val="24"/>
        </w:rPr>
        <w:t>The note here also acknowledges a ra</w:t>
      </w:r>
      <w:r w:rsidR="006462D7">
        <w:rPr>
          <w:sz w:val="24"/>
          <w:szCs w:val="24"/>
        </w:rPr>
        <w:t xml:space="preserve">re case </w:t>
      </w:r>
      <w:r w:rsidR="009940F4">
        <w:rPr>
          <w:sz w:val="24"/>
          <w:szCs w:val="24"/>
        </w:rPr>
        <w:t xml:space="preserve">by </w:t>
      </w:r>
      <w:r w:rsidR="0070589C" w:rsidRPr="00363BE6">
        <w:rPr>
          <w:sz w:val="24"/>
          <w:szCs w:val="24"/>
        </w:rPr>
        <w:t xml:space="preserve">the U.S. Supreme Court </w:t>
      </w:r>
      <w:r w:rsidR="009940F4">
        <w:rPr>
          <w:sz w:val="24"/>
          <w:szCs w:val="24"/>
        </w:rPr>
        <w:t xml:space="preserve">opining on CERCLA, </w:t>
      </w:r>
      <w:r w:rsidR="0070589C" w:rsidRPr="00363BE6">
        <w:rPr>
          <w:sz w:val="24"/>
          <w:szCs w:val="24"/>
        </w:rPr>
        <w:t xml:space="preserve"> </w:t>
      </w:r>
      <w:r w:rsidR="0070589C" w:rsidRPr="00363BE6">
        <w:rPr>
          <w:i/>
          <w:sz w:val="24"/>
          <w:szCs w:val="24"/>
        </w:rPr>
        <w:t>Atlantic Richfield Co. v. Christian</w:t>
      </w:r>
      <w:r w:rsidR="0070589C" w:rsidRPr="00363BE6">
        <w:rPr>
          <w:sz w:val="24"/>
          <w:szCs w:val="24"/>
        </w:rPr>
        <w:t>, 140 S.Ct. 1335 (2020</w:t>
      </w:r>
      <w:r w:rsidR="0070589C" w:rsidRPr="00363BE6">
        <w:rPr>
          <w:color w:val="000000" w:themeColor="text1"/>
          <w:sz w:val="24"/>
          <w:szCs w:val="24"/>
        </w:rPr>
        <w:t xml:space="preserve">). </w:t>
      </w:r>
      <w:r w:rsidR="00556C05">
        <w:rPr>
          <w:sz w:val="24"/>
          <w:szCs w:val="24"/>
        </w:rPr>
        <w:t>In this recent decision,</w:t>
      </w:r>
      <w:r w:rsidR="0070589C" w:rsidRPr="00363BE6">
        <w:rPr>
          <w:sz w:val="24"/>
          <w:szCs w:val="24"/>
        </w:rPr>
        <w:t xml:space="preserve"> Court </w:t>
      </w:r>
      <w:r w:rsidR="00556C05">
        <w:rPr>
          <w:sz w:val="24"/>
          <w:szCs w:val="24"/>
        </w:rPr>
        <w:t xml:space="preserve">held </w:t>
      </w:r>
      <w:r w:rsidR="0070589C" w:rsidRPr="00363BE6">
        <w:rPr>
          <w:sz w:val="24"/>
          <w:szCs w:val="24"/>
        </w:rPr>
        <w:t xml:space="preserve">that landowner plaintiffs’ claims under common law nuisance, trespass, and strict liability were not claims “arising under” CERCLA § 113(b), granting exclusive jurisdiction to federal district courts and subjecting remedy challenges to the bar on pre-enforcement under § 113(h).  The Court did, however, agree with defendants that § 122(e)(6) applied to this case, such that “no potentially responsible party may undertake any remedial action” at the site without EPA approval.  The Court affirmed in part and vacated in part the judgment of the Supreme Court of Montana.  </w:t>
      </w:r>
    </w:p>
    <w:p w14:paraId="25CBFE45" w14:textId="77777777" w:rsidR="0070589C" w:rsidRDefault="0070589C" w:rsidP="0070589C">
      <w:pPr>
        <w:pStyle w:val="BodyText"/>
        <w:kinsoku w:val="0"/>
        <w:overflowPunct w:val="0"/>
        <w:ind w:right="897"/>
        <w:jc w:val="both"/>
      </w:pPr>
    </w:p>
    <w:p w14:paraId="1DE6575D" w14:textId="2DFCDAD5" w:rsidR="0070589C" w:rsidRPr="00D143E5" w:rsidRDefault="0070589C" w:rsidP="0070589C">
      <w:pPr>
        <w:pStyle w:val="BodyText"/>
        <w:kinsoku w:val="0"/>
        <w:overflowPunct w:val="0"/>
        <w:ind w:right="897" w:firstLine="720"/>
        <w:jc w:val="both"/>
        <w:rPr>
          <w:b/>
        </w:rPr>
      </w:pPr>
      <w:r w:rsidRPr="00D143E5">
        <w:rPr>
          <w:b/>
        </w:rPr>
        <w:t xml:space="preserve">2.  Meaningful Involvement </w:t>
      </w:r>
      <w:r w:rsidR="00480833">
        <w:rPr>
          <w:b/>
        </w:rPr>
        <w:t>with Contaminated Sites</w:t>
      </w:r>
      <w:r w:rsidRPr="00D143E5">
        <w:rPr>
          <w:b/>
        </w:rPr>
        <w:t>.</w:t>
      </w:r>
    </w:p>
    <w:p w14:paraId="28B24A67" w14:textId="77777777" w:rsidR="0070589C" w:rsidRDefault="0070589C" w:rsidP="0070589C">
      <w:pPr>
        <w:pStyle w:val="BodyText"/>
        <w:kinsoku w:val="0"/>
        <w:overflowPunct w:val="0"/>
        <w:ind w:right="897" w:firstLine="720"/>
        <w:jc w:val="both"/>
      </w:pPr>
    </w:p>
    <w:p w14:paraId="5ADD0D0F" w14:textId="17B3A079" w:rsidR="0070589C" w:rsidRDefault="0070589C" w:rsidP="0070589C">
      <w:pPr>
        <w:pStyle w:val="BodyText"/>
        <w:kinsoku w:val="0"/>
        <w:overflowPunct w:val="0"/>
        <w:ind w:right="540" w:firstLine="720"/>
        <w:jc w:val="both"/>
      </w:pPr>
      <w:r>
        <w:t xml:space="preserve">The </w:t>
      </w:r>
      <w:r w:rsidR="00A4059B">
        <w:t xml:space="preserve">comments </w:t>
      </w:r>
      <w:r w:rsidR="004D6CB3">
        <w:t xml:space="preserve">in </w:t>
      </w:r>
      <w:r>
        <w:t xml:space="preserve">this section </w:t>
      </w:r>
      <w:r w:rsidR="004D6CB3">
        <w:t xml:space="preserve">demonstrate the breadth of </w:t>
      </w:r>
      <w:r w:rsidR="00684AD8">
        <w:t>opportunities for public involvement in</w:t>
      </w:r>
      <w:r w:rsidR="00716D92">
        <w:t xml:space="preserve"> cleanup processes</w:t>
      </w:r>
      <w:r w:rsidR="00684AD8">
        <w:t xml:space="preserve">.  In general, </w:t>
      </w:r>
      <w:r w:rsidR="00C11060">
        <w:t xml:space="preserve">there are more opportunities for public involvement in the cleanup context than </w:t>
      </w:r>
      <w:r w:rsidR="00716D92">
        <w:t xml:space="preserve">in </w:t>
      </w:r>
      <w:r w:rsidR="00C11060">
        <w:t xml:space="preserve">the enforcement context discussed in Chapter 7.  However, </w:t>
      </w:r>
      <w:r w:rsidR="001A31DA">
        <w:t xml:space="preserve">the CERCLA cleanup program can be long and complicated, </w:t>
      </w:r>
      <w:r w:rsidR="001A0E45">
        <w:t xml:space="preserve">creating challenges for community members who are not </w:t>
      </w:r>
      <w:r w:rsidR="004B7FEB">
        <w:t>paid professionals.  This section</w:t>
      </w:r>
      <w:r w:rsidR="009A6E5D">
        <w:t xml:space="preserve"> thus </w:t>
      </w:r>
      <w:r w:rsidR="00B05165">
        <w:t xml:space="preserve">attempts to organize </w:t>
      </w:r>
      <w:r w:rsidR="00AF4924">
        <w:t xml:space="preserve">the opportunities for public involvement into three broad categories of CERCLA activity:  (1) rulemaking (to include NPL listing); </w:t>
      </w:r>
      <w:r w:rsidR="00414527">
        <w:t xml:space="preserve">(2) settlements; and (3) remedy decisions. </w:t>
      </w:r>
      <w:r w:rsidR="00D73092">
        <w:t xml:space="preserve">Tools for </w:t>
      </w:r>
      <w:r w:rsidR="00CF6CFF">
        <w:t xml:space="preserve">enhancing </w:t>
      </w:r>
      <w:r w:rsidR="00D73092">
        <w:t xml:space="preserve">public involvement </w:t>
      </w:r>
      <w:r w:rsidR="00CF6CFF">
        <w:t xml:space="preserve">are also discussed.  </w:t>
      </w:r>
      <w:r>
        <w:t xml:space="preserve">    </w:t>
      </w:r>
    </w:p>
    <w:p w14:paraId="6D4AE8C4" w14:textId="77777777" w:rsidR="0070589C" w:rsidRDefault="0070589C" w:rsidP="0070589C">
      <w:pPr>
        <w:pStyle w:val="BodyText"/>
        <w:kinsoku w:val="0"/>
        <w:overflowPunct w:val="0"/>
        <w:ind w:right="897" w:firstLine="360"/>
        <w:jc w:val="both"/>
      </w:pPr>
    </w:p>
    <w:p w14:paraId="748E6252" w14:textId="77777777" w:rsidR="0070589C" w:rsidRDefault="0070589C" w:rsidP="0070589C">
      <w:pPr>
        <w:pStyle w:val="BodyText"/>
        <w:kinsoku w:val="0"/>
        <w:overflowPunct w:val="0"/>
        <w:ind w:right="897"/>
        <w:jc w:val="both"/>
      </w:pPr>
    </w:p>
    <w:p w14:paraId="155EE3B2" w14:textId="6F855347" w:rsidR="0070589C" w:rsidRDefault="0070589C" w:rsidP="0070589C">
      <w:pPr>
        <w:pStyle w:val="BodyText"/>
        <w:kinsoku w:val="0"/>
        <w:overflowPunct w:val="0"/>
        <w:ind w:right="540"/>
        <w:jc w:val="both"/>
      </w:pPr>
      <w:r>
        <w:tab/>
      </w:r>
      <w:r>
        <w:rPr>
          <w:b/>
        </w:rPr>
        <w:t>a</w:t>
      </w:r>
      <w:r w:rsidRPr="00D842D4">
        <w:rPr>
          <w:b/>
        </w:rPr>
        <w:t>.</w:t>
      </w:r>
      <w:r>
        <w:rPr>
          <w:b/>
        </w:rPr>
        <w:t xml:space="preserve">  Public comment on the National Contingency Plan.</w:t>
      </w:r>
      <w:r>
        <w:t xml:space="preserve">  This note is mostly self-explanatory.  The question at the end of this note asks about challenges to EPA’s refusal to list a site on the NPL.  The combination of CERCLA § 105(d) (“the President shall promptly evaluate,” but not necessarily list sites that pose risks to human health) and § 310(a)(2) (citizen suits against the President for failure to take any action “which is not discretionary with the President”) should answer the question about the ability of plaintiffs to sue for failure to list sites on the NPL.</w:t>
      </w:r>
    </w:p>
    <w:p w14:paraId="7451D989" w14:textId="77777777" w:rsidR="0070589C" w:rsidRDefault="0070589C" w:rsidP="0070589C">
      <w:pPr>
        <w:pStyle w:val="BodyText"/>
        <w:kinsoku w:val="0"/>
        <w:overflowPunct w:val="0"/>
        <w:ind w:right="897"/>
        <w:jc w:val="both"/>
      </w:pPr>
    </w:p>
    <w:p w14:paraId="03134D9E" w14:textId="65648E27" w:rsidR="0070589C" w:rsidRDefault="0070589C" w:rsidP="0070589C">
      <w:pPr>
        <w:pStyle w:val="BodyText"/>
        <w:kinsoku w:val="0"/>
        <w:overflowPunct w:val="0"/>
        <w:ind w:right="540"/>
        <w:jc w:val="both"/>
      </w:pPr>
      <w:r>
        <w:tab/>
      </w:r>
      <w:r>
        <w:rPr>
          <w:b/>
        </w:rPr>
        <w:t>b</w:t>
      </w:r>
      <w:r w:rsidRPr="004A2556">
        <w:rPr>
          <w:b/>
        </w:rPr>
        <w:t>.</w:t>
      </w:r>
      <w:r>
        <w:rPr>
          <w:b/>
        </w:rPr>
        <w:t xml:space="preserve"> Public comment on settlements. </w:t>
      </w:r>
      <w:r>
        <w:t xml:space="preserve">  Note th</w:t>
      </w:r>
      <w:r w:rsidR="00E84957">
        <w:t>at</w:t>
      </w:r>
      <w:r>
        <w:t xml:space="preserve"> settlements under CERCLA generally require opportunities for public comments before they become final, but they may not require any public involvement before or during negotiation of the settlement itself.  This may look like the opposite of “meaningful involvement” and perhaps it is.  But as noted, because settlements may be subject to legal challenge after negotiations have concluded, this provides interested community members at least some leverage to inject their concerns before the settlement become subject to review and challenge.  </w:t>
      </w:r>
    </w:p>
    <w:p w14:paraId="169548CB" w14:textId="77777777" w:rsidR="0070589C" w:rsidRDefault="0070589C" w:rsidP="0070589C">
      <w:pPr>
        <w:pStyle w:val="BodyText"/>
        <w:kinsoku w:val="0"/>
        <w:overflowPunct w:val="0"/>
        <w:ind w:right="897"/>
        <w:jc w:val="both"/>
      </w:pPr>
    </w:p>
    <w:p w14:paraId="78165588" w14:textId="05FE9380" w:rsidR="0070589C" w:rsidRDefault="0070589C" w:rsidP="0070589C">
      <w:pPr>
        <w:pStyle w:val="BodyText"/>
        <w:kinsoku w:val="0"/>
        <w:overflowPunct w:val="0"/>
        <w:ind w:right="540" w:firstLine="720"/>
        <w:jc w:val="both"/>
      </w:pPr>
      <w:r>
        <w:t xml:space="preserve">Instructors should also note what is and is not subject to settlement negotiations.  Settlements usually confirm who will be implementing the cleanup investigation and implementation, with specified schedules and criteria.  Most importantly, the actual remedy for a contaminated site is </w:t>
      </w:r>
      <w:r w:rsidRPr="00077C70">
        <w:rPr>
          <w:i/>
        </w:rPr>
        <w:t>not</w:t>
      </w:r>
      <w:r>
        <w:t xml:space="preserve"> subject to negotiation (although EPA and DOJ </w:t>
      </w:r>
      <w:r w:rsidR="00B52F9B">
        <w:t xml:space="preserve">staff </w:t>
      </w:r>
      <w:r>
        <w:t xml:space="preserve">may </w:t>
      </w:r>
      <w:r w:rsidR="00427B54">
        <w:t xml:space="preserve">not know or may forget </w:t>
      </w:r>
      <w:r>
        <w:t xml:space="preserve">this).  Remedies for any cleanup action (removal or remedial action) must be guided by criteria specified in the CERCLA statute and in the NCP, as indicated earlier in the book chapter.  Thus, there should never be a negotiated settlement, for example, trading away groundwater remediation for economic redevelopment.  To do so would give a reviewing court legal basis for rejecting the proposed settlement.  </w:t>
      </w:r>
    </w:p>
    <w:p w14:paraId="0BDC45AF" w14:textId="77777777" w:rsidR="0070589C" w:rsidRDefault="0070589C" w:rsidP="0070589C">
      <w:pPr>
        <w:pStyle w:val="BodyText"/>
        <w:kinsoku w:val="0"/>
        <w:overflowPunct w:val="0"/>
        <w:ind w:right="897"/>
        <w:jc w:val="both"/>
      </w:pPr>
    </w:p>
    <w:p w14:paraId="1C6A070B" w14:textId="782B99D9" w:rsidR="0070589C" w:rsidRDefault="0070589C" w:rsidP="0070589C">
      <w:pPr>
        <w:pStyle w:val="BodyText"/>
        <w:kinsoku w:val="0"/>
        <w:overflowPunct w:val="0"/>
        <w:ind w:right="540"/>
        <w:jc w:val="both"/>
      </w:pPr>
      <w:r>
        <w:tab/>
      </w:r>
      <w:r>
        <w:rPr>
          <w:b/>
        </w:rPr>
        <w:t>c</w:t>
      </w:r>
      <w:r w:rsidRPr="007538CE">
        <w:rPr>
          <w:b/>
        </w:rPr>
        <w:t xml:space="preserve">.  </w:t>
      </w:r>
      <w:r>
        <w:rPr>
          <w:b/>
        </w:rPr>
        <w:t>Public comment on response actions</w:t>
      </w:r>
      <w:r w:rsidRPr="007538CE">
        <w:rPr>
          <w:b/>
        </w:rPr>
        <w:t>.</w:t>
      </w:r>
      <w:r>
        <w:t xml:space="preserve">  As indicated, most public involvement with contaminated sites involves commenting on the cleanup investigation and remedy selection.  As indicated in the </w:t>
      </w:r>
      <w:r w:rsidR="00CE52F8">
        <w:t>chapter</w:t>
      </w:r>
      <w:r>
        <w:t xml:space="preserve">, there may be few opportunities for formal public comments before a proposed cleanup plan is presented for public comments.  However, there may be years of opportunity for interested community members to engage in processes leading up to the proposed plan.  Savvy EJ advocates would never wait until the formal comment period in order to raise important concerns relating to a contaminated site.  </w:t>
      </w:r>
      <w:r w:rsidR="00196188">
        <w:t xml:space="preserve">Most importantly, instructors should emphasize that public involvement can change </w:t>
      </w:r>
      <w:r w:rsidR="000B2BD8">
        <w:t>the outcome of a remedy decision, as the example concerning the Quivira Mine</w:t>
      </w:r>
      <w:r w:rsidR="00A4499B">
        <w:t xml:space="preserve"> Site</w:t>
      </w:r>
      <w:r w:rsidR="000B2BD8">
        <w:t>s</w:t>
      </w:r>
      <w:r w:rsidR="005F6E9D">
        <w:t xml:space="preserve"> in 2025 attests.  At this writing (late 2025), the selected remedy, supported by the</w:t>
      </w:r>
      <w:r w:rsidR="008F160B">
        <w:t xml:space="preserve"> local community, remains </w:t>
      </w:r>
      <w:r w:rsidR="00A4499B">
        <w:t xml:space="preserve">going forward.  </w:t>
      </w:r>
    </w:p>
    <w:p w14:paraId="287BFBF9" w14:textId="77777777" w:rsidR="00AF4F5C" w:rsidRDefault="00AF4F5C" w:rsidP="00AF4F5C">
      <w:pPr>
        <w:pStyle w:val="BodyText"/>
        <w:kinsoku w:val="0"/>
        <w:overflowPunct w:val="0"/>
        <w:ind w:right="540"/>
        <w:jc w:val="both"/>
      </w:pPr>
    </w:p>
    <w:p w14:paraId="635140F5" w14:textId="06BE4C96" w:rsidR="0070589C" w:rsidRDefault="00AF4F5C" w:rsidP="00AF4F5C">
      <w:pPr>
        <w:pStyle w:val="BodyText"/>
        <w:kinsoku w:val="0"/>
        <w:overflowPunct w:val="0"/>
        <w:ind w:right="540" w:firstLine="720"/>
        <w:jc w:val="both"/>
      </w:pPr>
      <w:r>
        <w:rPr>
          <w:b/>
          <w:bCs/>
        </w:rPr>
        <w:t>d.</w:t>
      </w:r>
      <w:r>
        <w:t xml:space="preserve">  </w:t>
      </w:r>
      <w:r>
        <w:rPr>
          <w:b/>
        </w:rPr>
        <w:t xml:space="preserve">Additional </w:t>
      </w:r>
      <w:r w:rsidR="00A44009">
        <w:rPr>
          <w:b/>
        </w:rPr>
        <w:t>pu</w:t>
      </w:r>
      <w:r w:rsidR="0070589C" w:rsidRPr="00B95752">
        <w:rPr>
          <w:b/>
        </w:rPr>
        <w:t>blic involvement tools</w:t>
      </w:r>
      <w:r w:rsidR="0070589C">
        <w:t>.  These notes are all self-explanatory, detailing additional measures that community advocates may consider in order to engage meaningfully in the CERCLA cleanup process.</w:t>
      </w:r>
    </w:p>
    <w:p w14:paraId="3F35F230" w14:textId="77777777" w:rsidR="0070589C" w:rsidRDefault="0070589C" w:rsidP="0070589C">
      <w:pPr>
        <w:pStyle w:val="BodyText"/>
        <w:kinsoku w:val="0"/>
        <w:overflowPunct w:val="0"/>
        <w:ind w:right="897"/>
        <w:jc w:val="both"/>
      </w:pPr>
    </w:p>
    <w:p w14:paraId="1398E698" w14:textId="5650BAE9" w:rsidR="0070589C" w:rsidRPr="00B95752" w:rsidRDefault="0070589C" w:rsidP="0070589C">
      <w:pPr>
        <w:pStyle w:val="BodyText"/>
        <w:numPr>
          <w:ilvl w:val="0"/>
          <w:numId w:val="23"/>
        </w:numPr>
        <w:kinsoku w:val="0"/>
        <w:overflowPunct w:val="0"/>
        <w:ind w:right="897"/>
        <w:jc w:val="both"/>
        <w:rPr>
          <w:b/>
        </w:rPr>
      </w:pPr>
      <w:r w:rsidRPr="00B95752">
        <w:rPr>
          <w:b/>
        </w:rPr>
        <w:t xml:space="preserve"> </w:t>
      </w:r>
      <w:r w:rsidR="00A44009">
        <w:rPr>
          <w:b/>
        </w:rPr>
        <w:t xml:space="preserve">Further </w:t>
      </w:r>
      <w:r w:rsidRPr="00B95752">
        <w:rPr>
          <w:b/>
        </w:rPr>
        <w:t xml:space="preserve">Opportunities for </w:t>
      </w:r>
      <w:r w:rsidR="003503C5">
        <w:rPr>
          <w:b/>
        </w:rPr>
        <w:t>Public Engagement on Contaminated Sites</w:t>
      </w:r>
      <w:r w:rsidRPr="00B95752">
        <w:rPr>
          <w:b/>
        </w:rPr>
        <w:t>.</w:t>
      </w:r>
    </w:p>
    <w:p w14:paraId="6BD30FCF" w14:textId="77777777" w:rsidR="0070589C" w:rsidRDefault="0070589C" w:rsidP="0070589C">
      <w:pPr>
        <w:pStyle w:val="BodyText"/>
        <w:kinsoku w:val="0"/>
        <w:overflowPunct w:val="0"/>
        <w:ind w:left="360" w:right="897"/>
        <w:jc w:val="both"/>
      </w:pPr>
    </w:p>
    <w:p w14:paraId="1B127A0D" w14:textId="1272D067" w:rsidR="0070589C" w:rsidRDefault="0070589C" w:rsidP="0070589C">
      <w:pPr>
        <w:pStyle w:val="BodyText"/>
        <w:kinsoku w:val="0"/>
        <w:overflowPunct w:val="0"/>
        <w:ind w:right="540" w:firstLine="360"/>
        <w:jc w:val="both"/>
      </w:pPr>
      <w:r>
        <w:t xml:space="preserve">This section </w:t>
      </w:r>
      <w:r w:rsidR="00EC27BE">
        <w:t xml:space="preserve">recognizes </w:t>
      </w:r>
      <w:r w:rsidR="001237AB">
        <w:t xml:space="preserve">advances in </w:t>
      </w:r>
      <w:r w:rsidR="00A75316">
        <w:t xml:space="preserve">thinking about public involvement (embracing the </w:t>
      </w:r>
      <w:r w:rsidR="00A75316">
        <w:lastRenderedPageBreak/>
        <w:t xml:space="preserve">term public </w:t>
      </w:r>
      <w:r w:rsidR="002824A6" w:rsidRPr="002824A6">
        <w:rPr>
          <w:i/>
          <w:iCs/>
        </w:rPr>
        <w:t>engagement</w:t>
      </w:r>
      <w:r w:rsidR="002824A6">
        <w:t xml:space="preserve">), much of which </w:t>
      </w:r>
      <w:r w:rsidR="000A0627">
        <w:t xml:space="preserve">is captured in </w:t>
      </w:r>
      <w:r w:rsidR="00B671BE">
        <w:t xml:space="preserve">EPA’s 2024 Meaningful Engagement Policy (available </w:t>
      </w:r>
      <w:r w:rsidR="00163769">
        <w:t xml:space="preserve">on the companion website, Chapter 8 Materials).  </w:t>
      </w:r>
      <w:r w:rsidR="005872DC">
        <w:t>Additional insights in this section reflect</w:t>
      </w:r>
      <w:r w:rsidR="00CA6DC5">
        <w:t xml:space="preserve"> experience </w:t>
      </w:r>
      <w:r>
        <w:t>from a long-time former EPA attorney</w:t>
      </w:r>
      <w:r w:rsidR="00CA6DC5">
        <w:t xml:space="preserve"> and policymaker</w:t>
      </w:r>
      <w:r>
        <w:t xml:space="preserve"> who actively promoted meaningful community involvement from inside and outside of the agency.  As before in Chapter 7 (</w:t>
      </w:r>
      <w:r w:rsidR="00EC27BE">
        <w:t xml:space="preserve">Government </w:t>
      </w:r>
      <w:r>
        <w:t>Enforcement), the advice reflected here may require reframing of perspectives, including the ability to see environmental agencies not as inherent enemies but also as potential allies and future employers.  Indeed, there may be no more direct way for EJ advocates to be meaningfully involved in environmental decision-making than to be the agency attorney or official making the decision.</w:t>
      </w:r>
    </w:p>
    <w:p w14:paraId="2EE11652" w14:textId="77777777" w:rsidR="0070589C" w:rsidRDefault="0070589C" w:rsidP="0070589C">
      <w:pPr>
        <w:pStyle w:val="BodyText"/>
        <w:kinsoku w:val="0"/>
        <w:overflowPunct w:val="0"/>
        <w:ind w:right="897" w:firstLine="360"/>
        <w:jc w:val="both"/>
      </w:pPr>
    </w:p>
    <w:p w14:paraId="0C221A37" w14:textId="77777777" w:rsidR="0070589C" w:rsidRPr="006A6AB4" w:rsidRDefault="0070589C" w:rsidP="0070589C">
      <w:pPr>
        <w:pStyle w:val="BodyText"/>
        <w:kinsoku w:val="0"/>
        <w:overflowPunct w:val="0"/>
        <w:ind w:right="897" w:firstLine="720"/>
        <w:rPr>
          <w:b/>
        </w:rPr>
      </w:pPr>
      <w:r>
        <w:rPr>
          <w:b/>
        </w:rPr>
        <w:t xml:space="preserve">D.  </w:t>
      </w:r>
      <w:r w:rsidRPr="006A6AB4">
        <w:rPr>
          <w:b/>
        </w:rPr>
        <w:t>Case Study:  The Lower Duwamish Waterway Superfund Site</w:t>
      </w:r>
    </w:p>
    <w:p w14:paraId="13545BF7" w14:textId="77777777" w:rsidR="0070589C" w:rsidRDefault="0070589C" w:rsidP="0070589C">
      <w:pPr>
        <w:pStyle w:val="BodyText"/>
        <w:kinsoku w:val="0"/>
        <w:overflowPunct w:val="0"/>
        <w:ind w:right="897"/>
        <w:jc w:val="both"/>
      </w:pPr>
    </w:p>
    <w:p w14:paraId="2658DE1C" w14:textId="338DA4B7" w:rsidR="0070589C" w:rsidRDefault="0070589C" w:rsidP="0070589C">
      <w:pPr>
        <w:pStyle w:val="BodyText"/>
        <w:kinsoku w:val="0"/>
        <w:overflowPunct w:val="0"/>
        <w:ind w:right="540" w:firstLine="360"/>
        <w:jc w:val="both"/>
      </w:pPr>
      <w:r>
        <w:t>This case study is offered to demonstrate many of the CERCLA processes discussed previously in this chapter, but also to demonstrate a number of modern “best practices” for agencies and community advocates genuinely committed to environmental justice.  Notice that this process, typical of CERCLA, took a long time to reach a final cleanup plan – well over a decade.  However, in that same period of time, more than half of the contaminated sediments had been removed under the often-overlooked “removal action” process.  Notice also that community involvement, advocating for more dredging than originally proposed, did apparently influence the final decision, which included 25</w:t>
      </w:r>
      <w:r w:rsidR="00AE422C">
        <w:t xml:space="preserve"> percent</w:t>
      </w:r>
      <w:r>
        <w:t xml:space="preserve"> more dredging.  Notice further that community involvement did not end with the final cleanup plan, but moved into a new phase of community involvement with remedial design, with an updated Community Involvement Plan.  In many ways, this is how contaminated site cleanups are supposed to work – and this case study confirms that they can.</w:t>
      </w:r>
    </w:p>
    <w:p w14:paraId="3A4DA7AC" w14:textId="77777777" w:rsidR="0070589C" w:rsidRDefault="0070589C" w:rsidP="0070589C">
      <w:pPr>
        <w:pStyle w:val="BodyText"/>
        <w:kinsoku w:val="0"/>
        <w:overflowPunct w:val="0"/>
        <w:ind w:right="897"/>
        <w:jc w:val="both"/>
      </w:pPr>
    </w:p>
    <w:p w14:paraId="5026409C" w14:textId="77777777" w:rsidR="0070589C" w:rsidRPr="00196806" w:rsidRDefault="0070589C" w:rsidP="0070589C">
      <w:pPr>
        <w:pStyle w:val="BodyText"/>
        <w:kinsoku w:val="0"/>
        <w:overflowPunct w:val="0"/>
        <w:ind w:right="897"/>
        <w:jc w:val="center"/>
        <w:rPr>
          <w:b/>
          <w:i/>
          <w:sz w:val="28"/>
          <w:szCs w:val="28"/>
        </w:rPr>
      </w:pPr>
      <w:r w:rsidRPr="00196806">
        <w:rPr>
          <w:b/>
          <w:i/>
          <w:sz w:val="28"/>
          <w:szCs w:val="28"/>
        </w:rPr>
        <w:t>Notes and Questions</w:t>
      </w:r>
    </w:p>
    <w:p w14:paraId="66897351" w14:textId="77777777" w:rsidR="0070589C" w:rsidRDefault="0070589C" w:rsidP="0070589C">
      <w:pPr>
        <w:pStyle w:val="BodyText"/>
        <w:kinsoku w:val="0"/>
        <w:overflowPunct w:val="0"/>
        <w:ind w:right="897"/>
        <w:jc w:val="both"/>
      </w:pPr>
    </w:p>
    <w:p w14:paraId="4219D1AD" w14:textId="77777777" w:rsidR="0070589C" w:rsidRDefault="0070589C" w:rsidP="0070589C">
      <w:pPr>
        <w:pStyle w:val="BodyText"/>
        <w:kinsoku w:val="0"/>
        <w:overflowPunct w:val="0"/>
        <w:ind w:right="540" w:firstLine="720"/>
        <w:jc w:val="both"/>
      </w:pPr>
      <w:r>
        <w:rPr>
          <w:b/>
        </w:rPr>
        <w:t>1.  Community involvement tools</w:t>
      </w:r>
      <w:r w:rsidRPr="00196806">
        <w:rPr>
          <w:b/>
        </w:rPr>
        <w:t>.</w:t>
      </w:r>
      <w:r>
        <w:t xml:space="preserve">  The creative community involvement tools noted in this case study, including community outreach to parents during their kids’ soccer practice, do not derive from generic handbooks but from listening to community members themselves.  Instructors might model this by listening to their students at this point.  If busy law students had some concern about a contaminated site or other hazard in their community, what would the students themselves suggest as best ways to reach them and engage their involvement?  The question then might be expanded to the best way to engage with their parents on the same question, or the best way to engage with the clients they assisted in clinic.  There will be no right or wrong answers here, only thoughtful and more thoughtful suggestions.</w:t>
      </w:r>
    </w:p>
    <w:p w14:paraId="738DBF39" w14:textId="77777777" w:rsidR="0070589C" w:rsidRDefault="0070589C" w:rsidP="0070589C">
      <w:pPr>
        <w:pStyle w:val="BodyText"/>
        <w:kinsoku w:val="0"/>
        <w:overflowPunct w:val="0"/>
        <w:ind w:right="897" w:firstLine="720"/>
        <w:jc w:val="both"/>
      </w:pPr>
    </w:p>
    <w:p w14:paraId="1FEDE4B2" w14:textId="77777777" w:rsidR="0070589C" w:rsidRDefault="0070589C" w:rsidP="0070589C">
      <w:pPr>
        <w:pStyle w:val="BodyText"/>
        <w:kinsoku w:val="0"/>
        <w:overflowPunct w:val="0"/>
        <w:ind w:right="540" w:firstLine="720"/>
        <w:jc w:val="both"/>
      </w:pPr>
      <w:r>
        <w:rPr>
          <w:b/>
        </w:rPr>
        <w:t>2.  EJ analysis</w:t>
      </w:r>
      <w:r w:rsidRPr="008F0DBB">
        <w:rPr>
          <w:b/>
        </w:rPr>
        <w:t>.</w:t>
      </w:r>
      <w:r>
        <w:t xml:space="preserve">  The EJ analysis performed for the CERCLA remedy was controversial, both with the PRPs who would ultimately be responsible for implementing the remedy and with other EPA regions who may resist what they perceive as an added workload burden.  But as EJ analyses have become standard features of NEPA analyses and permitting decisions, EJ analyses for CERCLA remedial decisions may help ensure that agencies meet existing requirements under applicable statutory and regulatory provisions.  For example, the statutory command under CERCLA § 121(b) to “select a remedial action that is protective of human health” requires that every significant threat to human health be evaluated.  </w:t>
      </w:r>
      <w:r>
        <w:lastRenderedPageBreak/>
        <w:t xml:space="preserve">Through an EJ analysis, agencies may discover that different groups, including homeless populations, indigenous communities, and distinct ethnic subpopulations consume different fish or different parts of a fish, presenting different risks that must be evaluated in a quantitative risk assessment.  Likewise, under the NCP’s “Nine Criteria,” an EJ analysis may help ensure achievement of the threshold criteria of protecting human health as well as other criteria including cost-effectiveness and “community acceptance.”  </w:t>
      </w:r>
    </w:p>
    <w:p w14:paraId="046B453A" w14:textId="77777777" w:rsidR="0070589C" w:rsidRDefault="0070589C" w:rsidP="0070589C">
      <w:pPr>
        <w:pStyle w:val="BodyText"/>
        <w:kinsoku w:val="0"/>
        <w:overflowPunct w:val="0"/>
        <w:ind w:right="897" w:firstLine="720"/>
        <w:jc w:val="both"/>
      </w:pPr>
    </w:p>
    <w:p w14:paraId="224B7D44" w14:textId="77777777" w:rsidR="0070589C" w:rsidRDefault="0070589C" w:rsidP="0070589C">
      <w:pPr>
        <w:pStyle w:val="BodyText"/>
        <w:kinsoku w:val="0"/>
        <w:overflowPunct w:val="0"/>
        <w:ind w:right="540" w:firstLine="720"/>
        <w:jc w:val="both"/>
      </w:pPr>
      <w:r>
        <w:rPr>
          <w:b/>
        </w:rPr>
        <w:t>3.  Opposition?</w:t>
      </w:r>
      <w:r>
        <w:t xml:space="preserve">  In answer to the specific question posed here, the CERCLA statute and regulation appear to require protective cleanups even where a majority of the affected community opposes the cleanup entirely.  This scenario has, in fact, manifested not uncommonly in communities such as mining towns where residents see cleanup actions as a threat to their livelihood or perhaps an affront to their mining history or culture.  Even in the face of such opposition, EPA has taken actions to require cleanup, especially where children and other residents unable to protect themselves may be affected.  Note that the NCP nine criteria do not establish a democratic system for selecting cleanup remedies.  In fact, the NCP criteria of “community acceptance” in the last criteria on the list, described as “modifying criteria,” with modest potential to modify the selected remedy but no power to cancel the remedy.  40 C.F.R. § 300.430(e)(9).  </w:t>
      </w:r>
    </w:p>
    <w:p w14:paraId="45116036" w14:textId="77777777" w:rsidR="0070589C" w:rsidRDefault="0070589C" w:rsidP="0070589C">
      <w:pPr>
        <w:pStyle w:val="BodyText"/>
        <w:kinsoku w:val="0"/>
        <w:overflowPunct w:val="0"/>
        <w:ind w:right="897" w:firstLine="720"/>
        <w:jc w:val="both"/>
      </w:pPr>
    </w:p>
    <w:p w14:paraId="46A4CE89" w14:textId="37CEB0FA" w:rsidR="0070589C" w:rsidRDefault="0070589C" w:rsidP="0070589C">
      <w:pPr>
        <w:pStyle w:val="BodyText"/>
        <w:kinsoku w:val="0"/>
        <w:overflowPunct w:val="0"/>
        <w:ind w:right="540" w:firstLine="720"/>
        <w:jc w:val="both"/>
      </w:pPr>
      <w:r>
        <w:rPr>
          <w:b/>
        </w:rPr>
        <w:t xml:space="preserve">4.  </w:t>
      </w:r>
      <w:r w:rsidR="00B767C1">
        <w:rPr>
          <w:b/>
        </w:rPr>
        <w:t>Georgia on my mind</w:t>
      </w:r>
      <w:r w:rsidRPr="00265FA5">
        <w:rPr>
          <w:b/>
        </w:rPr>
        <w:t>.</w:t>
      </w:r>
      <w:r>
        <w:t xml:space="preserve">  Returning to the opening vignette </w:t>
      </w:r>
      <w:r w:rsidR="003E284E">
        <w:t>concerning the Westside Lead Superfund Site</w:t>
      </w:r>
      <w:r>
        <w:t xml:space="preserve">, students </w:t>
      </w:r>
      <w:r w:rsidR="00691C07">
        <w:t xml:space="preserve">should see that speedy cleanup and public </w:t>
      </w:r>
      <w:r w:rsidR="00961A2C">
        <w:t xml:space="preserve">engagement are not </w:t>
      </w:r>
      <w:r w:rsidR="00FB4AD4">
        <w:t xml:space="preserve">mutually exclusive in all cases.  </w:t>
      </w:r>
      <w:r w:rsidR="00EB68CD">
        <w:t xml:space="preserve">In the case of Westside Lead, the soil contamination could be readily addressed through standard </w:t>
      </w:r>
      <w:r w:rsidR="009127C4">
        <w:t>remedies involving</w:t>
      </w:r>
      <w:r w:rsidR="00EB68CD">
        <w:t xml:space="preserve"> excavation and backfill.  </w:t>
      </w:r>
      <w:r w:rsidR="00FB4AD4">
        <w:t xml:space="preserve">But each case is unique, </w:t>
      </w:r>
      <w:r w:rsidR="002C5C2C">
        <w:t xml:space="preserve">and additional time may be needed in some </w:t>
      </w:r>
      <w:r w:rsidR="0019618A">
        <w:t xml:space="preserve">circumstances, such as communities </w:t>
      </w:r>
      <w:r w:rsidR="00CA3D38">
        <w:t xml:space="preserve">with significant </w:t>
      </w:r>
      <w:r w:rsidR="002C5C2C">
        <w:t xml:space="preserve">language or cultural </w:t>
      </w:r>
      <w:r w:rsidR="00CA3D38">
        <w:t>difference</w:t>
      </w:r>
      <w:r w:rsidR="00EF48D2">
        <w:t xml:space="preserve">s, or </w:t>
      </w:r>
      <w:r w:rsidR="000D67BB">
        <w:t>cleanups requiring complicated analyses or technology innovation</w:t>
      </w:r>
      <w:r>
        <w:t>.</w:t>
      </w:r>
    </w:p>
    <w:p w14:paraId="3B942C38" w14:textId="77777777" w:rsidR="0070589C" w:rsidRDefault="0070589C" w:rsidP="0070589C">
      <w:pPr>
        <w:pStyle w:val="BodyText"/>
        <w:kinsoku w:val="0"/>
        <w:overflowPunct w:val="0"/>
        <w:ind w:right="897" w:firstLine="720"/>
        <w:jc w:val="both"/>
      </w:pPr>
    </w:p>
    <w:p w14:paraId="3E714100" w14:textId="77777777" w:rsidR="0070589C" w:rsidRDefault="0070589C" w:rsidP="0070589C">
      <w:pPr>
        <w:pStyle w:val="BodyText"/>
        <w:kinsoku w:val="0"/>
        <w:overflowPunct w:val="0"/>
        <w:ind w:right="897"/>
        <w:jc w:val="both"/>
      </w:pPr>
    </w:p>
    <w:p w14:paraId="19D782FB" w14:textId="77777777" w:rsidR="0070589C" w:rsidRDefault="0070589C" w:rsidP="0070589C">
      <w:pPr>
        <w:widowControl/>
        <w:autoSpaceDE/>
        <w:autoSpaceDN/>
        <w:adjustRightInd/>
        <w:spacing w:after="160" w:line="259" w:lineRule="auto"/>
        <w:rPr>
          <w:sz w:val="24"/>
          <w:szCs w:val="24"/>
        </w:rPr>
      </w:pPr>
      <w:r>
        <w:br w:type="page"/>
      </w:r>
    </w:p>
    <w:p w14:paraId="7BC892D3" w14:textId="77777777" w:rsidR="0070589C" w:rsidRPr="00051994" w:rsidRDefault="0070589C" w:rsidP="0070589C">
      <w:pPr>
        <w:pStyle w:val="Heading1"/>
        <w:kinsoku w:val="0"/>
        <w:overflowPunct w:val="0"/>
        <w:spacing w:before="58" w:line="480" w:lineRule="auto"/>
        <w:ind w:left="0"/>
        <w:rPr>
          <w:sz w:val="32"/>
          <w:szCs w:val="32"/>
        </w:rPr>
      </w:pPr>
      <w:r>
        <w:rPr>
          <w:sz w:val="32"/>
          <w:szCs w:val="32"/>
        </w:rPr>
        <w:lastRenderedPageBreak/>
        <w:t>Chapter</w:t>
      </w:r>
      <w:r w:rsidRPr="00051994">
        <w:rPr>
          <w:sz w:val="32"/>
          <w:szCs w:val="32"/>
        </w:rPr>
        <w:t xml:space="preserve"> 9</w:t>
      </w:r>
    </w:p>
    <w:p w14:paraId="58B598F8" w14:textId="77777777" w:rsidR="0070589C" w:rsidRPr="00051994" w:rsidRDefault="0070589C" w:rsidP="0070589C">
      <w:pPr>
        <w:pStyle w:val="Heading1"/>
        <w:kinsoku w:val="0"/>
        <w:overflowPunct w:val="0"/>
        <w:spacing w:before="58" w:line="480" w:lineRule="auto"/>
        <w:ind w:left="0"/>
        <w:rPr>
          <w:sz w:val="32"/>
          <w:szCs w:val="32"/>
        </w:rPr>
      </w:pPr>
      <w:r w:rsidRPr="00051994">
        <w:rPr>
          <w:sz w:val="32"/>
          <w:szCs w:val="32"/>
        </w:rPr>
        <w:t>Environmental Justice in Indian Country</w:t>
      </w:r>
    </w:p>
    <w:p w14:paraId="49BA46B9" w14:textId="77777777" w:rsidR="0070589C" w:rsidRPr="00883234" w:rsidRDefault="0070589C" w:rsidP="0070589C">
      <w:pPr>
        <w:pStyle w:val="ListParagraph"/>
        <w:shd w:val="clear" w:color="auto" w:fill="F9F9F9"/>
        <w:tabs>
          <w:tab w:val="left" w:pos="880"/>
        </w:tabs>
        <w:kinsoku w:val="0"/>
        <w:overflowPunct w:val="0"/>
        <w:spacing w:before="1"/>
        <w:ind w:right="610" w:firstLine="0"/>
        <w:jc w:val="both"/>
        <w:rPr>
          <w:rFonts w:eastAsia="Times New Roman"/>
        </w:rPr>
      </w:pPr>
    </w:p>
    <w:p w14:paraId="0A37FEE0" w14:textId="77777777" w:rsidR="0070589C" w:rsidRDefault="0070589C" w:rsidP="0070589C">
      <w:pPr>
        <w:pStyle w:val="ListParagraph"/>
        <w:numPr>
          <w:ilvl w:val="0"/>
          <w:numId w:val="24"/>
        </w:numPr>
        <w:shd w:val="clear" w:color="auto" w:fill="F9F9F9"/>
        <w:tabs>
          <w:tab w:val="left" w:pos="880"/>
        </w:tabs>
        <w:kinsoku w:val="0"/>
        <w:overflowPunct w:val="0"/>
        <w:spacing w:before="1"/>
        <w:ind w:right="610"/>
        <w:jc w:val="both"/>
        <w:rPr>
          <w:rFonts w:eastAsia="Times New Roman"/>
          <w:b/>
          <w:bCs/>
        </w:rPr>
      </w:pPr>
      <w:r>
        <w:rPr>
          <w:rFonts w:eastAsia="Times New Roman"/>
          <w:b/>
          <w:bCs/>
        </w:rPr>
        <w:t xml:space="preserve"> Introduction</w:t>
      </w:r>
    </w:p>
    <w:p w14:paraId="21399EC9" w14:textId="77777777" w:rsidR="0070589C" w:rsidRDefault="0070589C" w:rsidP="0070589C">
      <w:pPr>
        <w:pStyle w:val="ListParagraph"/>
        <w:shd w:val="clear" w:color="auto" w:fill="F9F9F9"/>
        <w:tabs>
          <w:tab w:val="left" w:pos="880"/>
        </w:tabs>
        <w:kinsoku w:val="0"/>
        <w:overflowPunct w:val="0"/>
        <w:spacing w:before="1"/>
        <w:ind w:left="519" w:right="610" w:firstLine="0"/>
        <w:jc w:val="both"/>
        <w:rPr>
          <w:rFonts w:eastAsia="Times New Roman"/>
          <w:b/>
          <w:bCs/>
        </w:rPr>
      </w:pPr>
    </w:p>
    <w:p w14:paraId="3A8D3C78" w14:textId="77777777" w:rsidR="0070589C" w:rsidRDefault="0070589C" w:rsidP="0070589C">
      <w:pPr>
        <w:shd w:val="clear" w:color="auto" w:fill="F9F9F9"/>
        <w:tabs>
          <w:tab w:val="left" w:pos="880"/>
        </w:tabs>
        <w:kinsoku w:val="0"/>
        <w:overflowPunct w:val="0"/>
        <w:spacing w:before="1"/>
        <w:ind w:right="540"/>
        <w:jc w:val="both"/>
        <w:rPr>
          <w:rFonts w:eastAsia="Times New Roman"/>
          <w:bCs/>
          <w:sz w:val="24"/>
          <w:szCs w:val="24"/>
        </w:rPr>
      </w:pPr>
      <w:r>
        <w:rPr>
          <w:rFonts w:eastAsia="Times New Roman"/>
          <w:bCs/>
        </w:rPr>
        <w:t xml:space="preserve"> </w:t>
      </w:r>
      <w:r>
        <w:rPr>
          <w:rFonts w:eastAsia="Times New Roman"/>
          <w:bCs/>
        </w:rPr>
        <w:tab/>
      </w:r>
      <w:r w:rsidRPr="00E11C37">
        <w:rPr>
          <w:rFonts w:eastAsia="Times New Roman"/>
          <w:bCs/>
          <w:sz w:val="24"/>
          <w:szCs w:val="24"/>
        </w:rPr>
        <w:t xml:space="preserve">Distinguished lawyer Dean Suagee (who passed away on June 24, 2019) notes in the opening to this chapter that environmental justice in Indian country is “tricky,” </w:t>
      </w:r>
      <w:r>
        <w:rPr>
          <w:rFonts w:eastAsia="Times New Roman"/>
          <w:bCs/>
          <w:sz w:val="24"/>
          <w:szCs w:val="24"/>
        </w:rPr>
        <w:t>and this is certainly true for many reasons.  For one thing, the EJ concern for “low-income communities” could mean that almost any Indian reservation might be considered an “EJ community.”  While some communities may embrace or even demand such recognition from the federal government, other communities – including indigenous communities concerned with such values as sovereignty and autonomy – might resent the imposition of such a label on their community.  To pick up on Suagee’s observation in the opening quote, instructors might ask for their students’ thoughts on what it would mean for every environmental issue in Indian country to be considered a matter of environmental justice.  Is that likely to draw attention and resources to address environmental problems on Indian lands or more likely to distract and obscure focus and attention away from solving any problems at all?</w:t>
      </w:r>
    </w:p>
    <w:p w14:paraId="57558AF4" w14:textId="77777777" w:rsidR="0070589C" w:rsidRDefault="0070589C" w:rsidP="0070589C">
      <w:pPr>
        <w:shd w:val="clear" w:color="auto" w:fill="F9F9F9"/>
        <w:tabs>
          <w:tab w:val="left" w:pos="880"/>
        </w:tabs>
        <w:kinsoku w:val="0"/>
        <w:overflowPunct w:val="0"/>
        <w:spacing w:before="1"/>
        <w:ind w:right="610"/>
        <w:jc w:val="both"/>
        <w:rPr>
          <w:rFonts w:eastAsia="Times New Roman"/>
          <w:bCs/>
          <w:sz w:val="24"/>
          <w:szCs w:val="24"/>
        </w:rPr>
      </w:pPr>
    </w:p>
    <w:p w14:paraId="07C097CC" w14:textId="77777777" w:rsidR="0070589C" w:rsidRPr="00E11C37" w:rsidRDefault="0070589C" w:rsidP="0070589C">
      <w:pPr>
        <w:shd w:val="clear" w:color="auto" w:fill="F9F9F9"/>
        <w:tabs>
          <w:tab w:val="left" w:pos="880"/>
        </w:tabs>
        <w:kinsoku w:val="0"/>
        <w:overflowPunct w:val="0"/>
        <w:spacing w:before="1"/>
        <w:ind w:right="540"/>
        <w:jc w:val="both"/>
        <w:rPr>
          <w:rFonts w:eastAsia="Times New Roman"/>
          <w:b/>
          <w:bCs/>
          <w:sz w:val="24"/>
          <w:szCs w:val="24"/>
        </w:rPr>
      </w:pPr>
      <w:r>
        <w:rPr>
          <w:rFonts w:eastAsia="Times New Roman"/>
          <w:bCs/>
          <w:sz w:val="24"/>
          <w:szCs w:val="24"/>
        </w:rPr>
        <w:tab/>
        <w:t xml:space="preserve">Particularly for students unfamiliar with Indian country, note at the top of page 324 the breathtaking variety of landscapes and geographies that “Indian country” may include.  One major development to also consider here is the decision of the U.S. Supreme Court on July 9, 2020, in the case of McGirt v. Oklahoma, 2020 WL 3848063, under which much of eastern Oklahoma – and potentially including all of Tulsa and Muskogee – may now be considered Indian reservation.  For quick analysis, see Jack Healy &amp; Adam Liptak, </w:t>
      </w:r>
      <w:r w:rsidRPr="00B503A2">
        <w:rPr>
          <w:rFonts w:eastAsia="Times New Roman"/>
          <w:bCs/>
          <w:i/>
          <w:sz w:val="24"/>
          <w:szCs w:val="24"/>
        </w:rPr>
        <w:t>Landmark Supreme Court Ruling Affirms Native American Rights in Oklahoma</w:t>
      </w:r>
      <w:r>
        <w:rPr>
          <w:rFonts w:eastAsia="Times New Roman"/>
          <w:bCs/>
          <w:sz w:val="24"/>
          <w:szCs w:val="24"/>
        </w:rPr>
        <w:t xml:space="preserve">, N.Y. </w:t>
      </w:r>
      <w:r w:rsidRPr="00B503A2">
        <w:rPr>
          <w:rFonts w:eastAsia="Times New Roman"/>
          <w:bCs/>
          <w:smallCaps/>
          <w:sz w:val="24"/>
          <w:szCs w:val="24"/>
        </w:rPr>
        <w:t>Times</w:t>
      </w:r>
      <w:r>
        <w:rPr>
          <w:rFonts w:eastAsia="Times New Roman"/>
          <w:bCs/>
          <w:sz w:val="24"/>
          <w:szCs w:val="24"/>
        </w:rPr>
        <w:t>, July 9, 2020.   Students should also be reminded that indigenous peoples, even those without a recognized tribal government or Indian reservation, may hold strong ancestral ties to land, water, and other natural resources, and may even hold treaty rights to such resources beyond the geographic scope of their lands.</w:t>
      </w:r>
    </w:p>
    <w:p w14:paraId="028C28D5" w14:textId="77777777" w:rsidR="0070589C" w:rsidRPr="00E11C37" w:rsidRDefault="0070589C" w:rsidP="0070589C">
      <w:pPr>
        <w:pStyle w:val="ListParagraph"/>
        <w:shd w:val="clear" w:color="auto" w:fill="F9F9F9"/>
        <w:tabs>
          <w:tab w:val="left" w:pos="880"/>
        </w:tabs>
        <w:kinsoku w:val="0"/>
        <w:overflowPunct w:val="0"/>
        <w:spacing w:before="1"/>
        <w:ind w:left="519" w:right="610" w:firstLine="0"/>
        <w:jc w:val="both"/>
        <w:rPr>
          <w:rFonts w:eastAsia="Times New Roman"/>
          <w:b/>
          <w:bCs/>
        </w:rPr>
      </w:pPr>
    </w:p>
    <w:p w14:paraId="56071DF0" w14:textId="77777777" w:rsidR="0070589C" w:rsidRPr="001B47B7" w:rsidRDefault="0070589C" w:rsidP="0070589C">
      <w:pPr>
        <w:pStyle w:val="ListParagraph"/>
        <w:numPr>
          <w:ilvl w:val="0"/>
          <w:numId w:val="24"/>
        </w:numPr>
        <w:shd w:val="clear" w:color="auto" w:fill="F9F9F9"/>
        <w:tabs>
          <w:tab w:val="left" w:pos="880"/>
        </w:tabs>
        <w:kinsoku w:val="0"/>
        <w:overflowPunct w:val="0"/>
        <w:spacing w:before="1"/>
        <w:ind w:right="610"/>
        <w:jc w:val="both"/>
        <w:rPr>
          <w:rFonts w:eastAsia="Times New Roman"/>
          <w:b/>
          <w:bCs/>
        </w:rPr>
      </w:pPr>
      <w:r>
        <w:rPr>
          <w:rFonts w:eastAsia="Times New Roman"/>
          <w:b/>
          <w:bCs/>
        </w:rPr>
        <w:t xml:space="preserve"> </w:t>
      </w:r>
      <w:r w:rsidRPr="001B47B7">
        <w:rPr>
          <w:rFonts w:eastAsia="Times New Roman"/>
          <w:b/>
          <w:bCs/>
        </w:rPr>
        <w:t>Special Factors for Environmental Justice in Indian Country</w:t>
      </w:r>
    </w:p>
    <w:p w14:paraId="6A14609F" w14:textId="77777777" w:rsidR="0070589C" w:rsidRDefault="0070589C" w:rsidP="0070589C">
      <w:pPr>
        <w:tabs>
          <w:tab w:val="left" w:pos="880"/>
        </w:tabs>
        <w:kinsoku w:val="0"/>
        <w:overflowPunct w:val="0"/>
        <w:spacing w:before="1"/>
        <w:ind w:right="610"/>
        <w:jc w:val="both"/>
      </w:pPr>
    </w:p>
    <w:p w14:paraId="2ACB9BD7" w14:textId="77777777" w:rsidR="0070589C" w:rsidRDefault="0070589C" w:rsidP="0070589C">
      <w:pPr>
        <w:tabs>
          <w:tab w:val="left" w:pos="880"/>
        </w:tabs>
        <w:kinsoku w:val="0"/>
        <w:overflowPunct w:val="0"/>
        <w:spacing w:before="1"/>
        <w:ind w:right="540"/>
        <w:jc w:val="both"/>
      </w:pPr>
      <w:r>
        <w:rPr>
          <w:sz w:val="24"/>
          <w:szCs w:val="24"/>
        </w:rPr>
        <w:tab/>
        <w:t xml:space="preserve">Through this excerpt from Elizabeth Kronk Warner (now Dean of the University of Utah Quinney School of Law), this section considers how environmental justice, as explored in preceding chapters of the book, may be similar or different from environmental justice in Indian country.  </w:t>
      </w:r>
    </w:p>
    <w:p w14:paraId="6026460B" w14:textId="77777777" w:rsidR="0070589C" w:rsidRPr="00883234" w:rsidRDefault="0070589C" w:rsidP="0070589C">
      <w:pPr>
        <w:tabs>
          <w:tab w:val="left" w:pos="880"/>
        </w:tabs>
        <w:kinsoku w:val="0"/>
        <w:overflowPunct w:val="0"/>
        <w:spacing w:before="1"/>
        <w:ind w:right="610"/>
        <w:jc w:val="both"/>
      </w:pPr>
    </w:p>
    <w:p w14:paraId="375A0404" w14:textId="77777777" w:rsidR="0070589C" w:rsidRPr="00DA4AEB" w:rsidRDefault="0070589C" w:rsidP="0070589C">
      <w:pPr>
        <w:pStyle w:val="Heading1"/>
        <w:kinsoku w:val="0"/>
        <w:overflowPunct w:val="0"/>
        <w:ind w:left="0"/>
        <w:jc w:val="center"/>
        <w:rPr>
          <w:b w:val="0"/>
          <w:bCs w:val="0"/>
          <w:i/>
          <w:iCs/>
          <w:sz w:val="28"/>
          <w:szCs w:val="28"/>
        </w:rPr>
      </w:pPr>
      <w:r w:rsidRPr="00DA4AEB">
        <w:rPr>
          <w:i/>
          <w:iCs/>
          <w:sz w:val="28"/>
          <w:szCs w:val="28"/>
        </w:rPr>
        <w:t>Notes and Questions</w:t>
      </w:r>
    </w:p>
    <w:p w14:paraId="1358D623" w14:textId="77777777" w:rsidR="0070589C" w:rsidRPr="00883234" w:rsidRDefault="0070589C" w:rsidP="0070589C">
      <w:pPr>
        <w:jc w:val="both"/>
        <w:rPr>
          <w:sz w:val="24"/>
          <w:szCs w:val="24"/>
        </w:rPr>
      </w:pPr>
    </w:p>
    <w:p w14:paraId="521BB788" w14:textId="77777777" w:rsidR="0070589C" w:rsidRDefault="0070589C" w:rsidP="0070589C">
      <w:pPr>
        <w:pStyle w:val="BodyText"/>
        <w:ind w:right="540" w:firstLine="720"/>
        <w:jc w:val="both"/>
        <w:rPr>
          <w:rFonts w:eastAsia="Times New Roman"/>
        </w:rPr>
      </w:pPr>
      <w:r w:rsidRPr="00B531E5">
        <w:rPr>
          <w:rFonts w:eastAsia="Times New Roman"/>
          <w:b/>
          <w:bCs/>
        </w:rPr>
        <w:t>1.</w:t>
      </w:r>
      <w:r>
        <w:rPr>
          <w:rFonts w:eastAsia="Times New Roman"/>
          <w:b/>
          <w:bCs/>
        </w:rPr>
        <w:t xml:space="preserve"> Tribal s</w:t>
      </w:r>
      <w:r w:rsidRPr="00DA4AEB">
        <w:rPr>
          <w:rFonts w:eastAsia="Times New Roman"/>
          <w:b/>
          <w:bCs/>
        </w:rPr>
        <w:t>overeignty.</w:t>
      </w:r>
      <w:r w:rsidRPr="00DA4AEB">
        <w:rPr>
          <w:rFonts w:eastAsia="Times New Roman"/>
        </w:rPr>
        <w:t xml:space="preserve"> </w:t>
      </w:r>
      <w:r>
        <w:rPr>
          <w:rFonts w:eastAsia="Times New Roman"/>
        </w:rPr>
        <w:t xml:space="preserve">Instructors should be sure to take time to discuss this note with students.  For discussion in context, the note suggests two scenarios:  (1) construction of a gas refinery on tribal lands; and (2) an explosion at this refinery five years after it opens.  In both cases, the federal government should always respect the tribal sovereignty over tribal </w:t>
      </w:r>
      <w:r>
        <w:rPr>
          <w:rFonts w:eastAsia="Times New Roman"/>
        </w:rPr>
        <w:lastRenderedPageBreak/>
        <w:t xml:space="preserve">lands.  Classroom discussion might focus upon what “government-to-government” consultation might look like in both cases.  If the refinery explosion constitutes an emergency, does that change things?  Knowing that refineries manage flammable and explosive materials, does that suggest some appropriate consultation before a disaster occurs?  (The scenario is loosely modeled upon refineries in Anacortes, Washington, surrounded by lands of the Lummi Nation and other Northwest tribes.) </w:t>
      </w:r>
    </w:p>
    <w:p w14:paraId="0C5CCCCD" w14:textId="77777777" w:rsidR="0070589C" w:rsidRDefault="0070589C" w:rsidP="0070589C">
      <w:pPr>
        <w:pStyle w:val="BodyText"/>
        <w:ind w:right="540" w:firstLine="720"/>
        <w:jc w:val="both"/>
        <w:rPr>
          <w:rFonts w:eastAsia="Times New Roman"/>
        </w:rPr>
      </w:pPr>
    </w:p>
    <w:p w14:paraId="5F2999A1" w14:textId="77777777" w:rsidR="0070589C" w:rsidRPr="00DA4AEB" w:rsidRDefault="0070589C" w:rsidP="0070589C">
      <w:pPr>
        <w:pStyle w:val="BodyText"/>
        <w:ind w:right="540" w:firstLine="720"/>
        <w:jc w:val="both"/>
        <w:rPr>
          <w:rFonts w:eastAsia="Times New Roman"/>
        </w:rPr>
      </w:pPr>
      <w:r w:rsidRPr="00DA4AEB">
        <w:rPr>
          <w:rFonts w:eastAsia="Times New Roman"/>
        </w:rPr>
        <w:t xml:space="preserve">The Indian Environmental Network considered Energy Development in Indian Country, </w:t>
      </w:r>
      <w:hyperlink r:id="rId33" w:history="1">
        <w:r w:rsidRPr="00DA4AEB">
          <w:rPr>
            <w:rStyle w:val="Hyperlink"/>
          </w:rPr>
          <w:t>https://www.ienearth.org/energy-development-in-indian-country/</w:t>
        </w:r>
      </w:hyperlink>
      <w:r w:rsidRPr="00883234">
        <w:t>,</w:t>
      </w:r>
      <w:r w:rsidRPr="00DA4AEB">
        <w:rPr>
          <w:rFonts w:eastAsia="Times New Roman"/>
        </w:rPr>
        <w:t xml:space="preserve"> and noted, “Energy policy in the U.S. does not recognize the protection of sacred sites.” For example, </w:t>
      </w:r>
      <w:r>
        <w:rPr>
          <w:rFonts w:eastAsia="Times New Roman"/>
        </w:rPr>
        <w:t xml:space="preserve">in 2002, </w:t>
      </w:r>
      <w:r w:rsidRPr="00DA4AEB">
        <w:rPr>
          <w:rFonts w:eastAsia="Times New Roman"/>
        </w:rPr>
        <w:t>the Bush administration gave Calpine Corporation permission to build a 48-megawatt geothermal power plant next the sacred Medicine Lake in California’s volcanic far north, essentially reversing President Clinton 2000 decision, which had blocked the project. Tribal environmental sovereignty was sacrificed for the goal of U.S. energy independence. Tribes in the area worried that the drilling w</w:t>
      </w:r>
      <w:r>
        <w:rPr>
          <w:rFonts w:eastAsia="Times New Roman"/>
        </w:rPr>
        <w:t>ould</w:t>
      </w:r>
      <w:r w:rsidRPr="00DA4AEB">
        <w:rPr>
          <w:rFonts w:eastAsia="Times New Roman"/>
        </w:rPr>
        <w:t xml:space="preserve"> deplete spiritual energy from a land they had been using for hundreds of generations as a sacred healing place.</w:t>
      </w:r>
    </w:p>
    <w:p w14:paraId="59F7A86D" w14:textId="77777777" w:rsidR="0070589C" w:rsidRPr="00883234" w:rsidRDefault="0070589C" w:rsidP="0070589C">
      <w:pPr>
        <w:pStyle w:val="ListParagraph"/>
        <w:widowControl/>
        <w:shd w:val="clear" w:color="auto" w:fill="FFFFFF"/>
        <w:autoSpaceDE/>
        <w:autoSpaceDN/>
        <w:adjustRightInd/>
        <w:ind w:left="0" w:firstLine="720"/>
        <w:jc w:val="both"/>
        <w:textAlignment w:val="baseline"/>
        <w:rPr>
          <w:rFonts w:eastAsia="Times New Roman"/>
        </w:rPr>
      </w:pPr>
    </w:p>
    <w:p w14:paraId="0D054FDE" w14:textId="77777777" w:rsidR="0070589C" w:rsidRDefault="0070589C" w:rsidP="0070589C">
      <w:pPr>
        <w:pStyle w:val="ListParagraph"/>
        <w:widowControl/>
        <w:shd w:val="clear" w:color="auto" w:fill="FFFFFF"/>
        <w:autoSpaceDE/>
        <w:autoSpaceDN/>
        <w:adjustRightInd/>
        <w:ind w:left="0" w:right="540" w:firstLine="720"/>
        <w:jc w:val="both"/>
        <w:textAlignment w:val="baseline"/>
        <w:rPr>
          <w:rFonts w:eastAsia="Times New Roman"/>
        </w:rPr>
      </w:pPr>
      <w:r w:rsidRPr="00883234">
        <w:rPr>
          <w:rFonts w:eastAsia="Times New Roman"/>
        </w:rPr>
        <w:t>In addition, the Zuni tribe of New Mexico fought against the Salt River Project (SRP), an Arizona-based electric power company</w:t>
      </w:r>
      <w:r>
        <w:rPr>
          <w:rFonts w:eastAsia="Times New Roman"/>
        </w:rPr>
        <w:t>,</w:t>
      </w:r>
      <w:r w:rsidRPr="00883234">
        <w:rPr>
          <w:rFonts w:eastAsia="Times New Roman"/>
        </w:rPr>
        <w:t xml:space="preserve"> that sought to destroy the sacred Zuni Salt Lake by mining over 80 million tons of coal from 18,000 acres of federal, state, and private lands. The lake was a sacred place, home to Zuni’s very important deity, the Salt Mother. SRP would pump 85 gallons per minute of groundwater from the same aquifer that feeds the lake. The Zuni, Acoma, Laguna, Hopi, Navajo, Apache and other Southwestern tribes </w:t>
      </w:r>
      <w:r>
        <w:rPr>
          <w:rFonts w:eastAsia="Times New Roman"/>
        </w:rPr>
        <w:t>continue to</w:t>
      </w:r>
      <w:r w:rsidRPr="00883234">
        <w:rPr>
          <w:rFonts w:eastAsia="Times New Roman"/>
        </w:rPr>
        <w:t xml:space="preserve"> journey</w:t>
      </w:r>
      <w:r>
        <w:rPr>
          <w:rFonts w:eastAsia="Times New Roman"/>
        </w:rPr>
        <w:t xml:space="preserve"> </w:t>
      </w:r>
      <w:r w:rsidRPr="00883234">
        <w:rPr>
          <w:rFonts w:eastAsia="Times New Roman"/>
        </w:rPr>
        <w:t>to the lake over pilgrimage trails to gather salt for ceremonial and domestic purposes. SRP also sought to construct a 44-mile railroad from the mine in Fence Lake, New Mexico, to the Coronado Generating Station in St. John’s, Arizona. The railroad would harm sections of pilgrimage trails and limit access over those trails.</w:t>
      </w:r>
    </w:p>
    <w:p w14:paraId="1FD5AB34" w14:textId="77777777" w:rsidR="0070589C" w:rsidRPr="00883234" w:rsidRDefault="0070589C" w:rsidP="0070589C">
      <w:pPr>
        <w:pStyle w:val="ListParagraph"/>
        <w:widowControl/>
        <w:shd w:val="clear" w:color="auto" w:fill="FFFFFF"/>
        <w:autoSpaceDE/>
        <w:autoSpaceDN/>
        <w:adjustRightInd/>
        <w:ind w:left="0" w:firstLine="720"/>
        <w:jc w:val="both"/>
        <w:textAlignment w:val="baseline"/>
        <w:rPr>
          <w:rFonts w:eastAsia="Times New Roman"/>
        </w:rPr>
      </w:pPr>
    </w:p>
    <w:p w14:paraId="63159C2A" w14:textId="77777777" w:rsidR="0070589C" w:rsidRDefault="0070589C" w:rsidP="0070589C">
      <w:pPr>
        <w:widowControl/>
        <w:shd w:val="clear" w:color="auto" w:fill="FFFFFF"/>
        <w:autoSpaceDE/>
        <w:autoSpaceDN/>
        <w:adjustRightInd/>
        <w:ind w:right="540" w:firstLine="720"/>
        <w:jc w:val="both"/>
        <w:textAlignment w:val="baseline"/>
        <w:rPr>
          <w:rFonts w:eastAsia="Times New Roman"/>
          <w:sz w:val="24"/>
          <w:szCs w:val="24"/>
        </w:rPr>
      </w:pPr>
      <w:r>
        <w:rPr>
          <w:rFonts w:eastAsia="Times New Roman"/>
          <w:b/>
          <w:bCs/>
          <w:sz w:val="24"/>
          <w:szCs w:val="24"/>
        </w:rPr>
        <w:t>2. Federal trust r</w:t>
      </w:r>
      <w:r w:rsidRPr="007C1DA4">
        <w:rPr>
          <w:rFonts w:eastAsia="Times New Roman"/>
          <w:b/>
          <w:bCs/>
          <w:sz w:val="24"/>
          <w:szCs w:val="24"/>
        </w:rPr>
        <w:t>elationship.</w:t>
      </w:r>
      <w:r>
        <w:rPr>
          <w:rFonts w:eastAsia="Times New Roman"/>
          <w:sz w:val="24"/>
          <w:szCs w:val="24"/>
        </w:rPr>
        <w:t xml:space="preserve"> </w:t>
      </w:r>
      <w:r w:rsidRPr="007C1DA4">
        <w:rPr>
          <w:rFonts w:eastAsia="Times New Roman"/>
          <w:sz w:val="24"/>
          <w:szCs w:val="24"/>
        </w:rPr>
        <w:t xml:space="preserve">The federal trust doctrine provides for tribal environmental sovereignty and also gives Congress the power to protect tribal lands. Kronk Warner considers the angles of tribal sovereignty, the federal trust relationship with Native Nations, the unique tribal connection to the land and environment, and international considerations. </w:t>
      </w:r>
      <w:r>
        <w:rPr>
          <w:rFonts w:eastAsia="Times New Roman"/>
          <w:sz w:val="24"/>
          <w:szCs w:val="24"/>
        </w:rPr>
        <w:t xml:space="preserve"> </w:t>
      </w:r>
      <w:r w:rsidRPr="007C1DA4">
        <w:rPr>
          <w:rFonts w:eastAsia="Times New Roman"/>
          <w:sz w:val="24"/>
          <w:szCs w:val="24"/>
        </w:rPr>
        <w:t xml:space="preserve">She notes, “… many communities facing environmental challenges may also encounter devastating impacts to their culture, spirituality, and traditions.” (Text, p. 328). </w:t>
      </w:r>
      <w:r>
        <w:rPr>
          <w:rFonts w:eastAsia="Times New Roman"/>
          <w:sz w:val="24"/>
          <w:szCs w:val="24"/>
        </w:rPr>
        <w:t>F</w:t>
      </w:r>
      <w:r w:rsidRPr="007C1DA4">
        <w:rPr>
          <w:rFonts w:eastAsia="Times New Roman"/>
          <w:sz w:val="24"/>
          <w:szCs w:val="24"/>
        </w:rPr>
        <w:t>ailure</w:t>
      </w:r>
      <w:r>
        <w:rPr>
          <w:rFonts w:eastAsia="Times New Roman"/>
          <w:sz w:val="24"/>
          <w:szCs w:val="24"/>
        </w:rPr>
        <w:t xml:space="preserve"> to </w:t>
      </w:r>
      <w:r w:rsidRPr="007C1DA4">
        <w:rPr>
          <w:rFonts w:eastAsia="Times New Roman"/>
          <w:sz w:val="24"/>
          <w:szCs w:val="24"/>
        </w:rPr>
        <w:t>understand these considerations will negatively impact indigenous communit</w:t>
      </w:r>
      <w:r>
        <w:rPr>
          <w:rFonts w:eastAsia="Times New Roman"/>
          <w:sz w:val="24"/>
          <w:szCs w:val="24"/>
        </w:rPr>
        <w:t>ies’</w:t>
      </w:r>
      <w:r w:rsidRPr="007C1DA4">
        <w:rPr>
          <w:rFonts w:eastAsia="Times New Roman"/>
          <w:sz w:val="24"/>
          <w:szCs w:val="24"/>
        </w:rPr>
        <w:t xml:space="preserve"> participation in the actual legal processes.</w:t>
      </w:r>
    </w:p>
    <w:p w14:paraId="4F14F2E4" w14:textId="77777777" w:rsidR="0070589C" w:rsidRDefault="0070589C" w:rsidP="0070589C">
      <w:pPr>
        <w:widowControl/>
        <w:shd w:val="clear" w:color="auto" w:fill="FFFFFF"/>
        <w:autoSpaceDE/>
        <w:autoSpaceDN/>
        <w:adjustRightInd/>
        <w:ind w:right="540" w:firstLine="720"/>
        <w:jc w:val="both"/>
        <w:textAlignment w:val="baseline"/>
        <w:rPr>
          <w:rFonts w:eastAsia="Times New Roman"/>
          <w:sz w:val="24"/>
          <w:szCs w:val="24"/>
        </w:rPr>
      </w:pPr>
    </w:p>
    <w:p w14:paraId="71B6E36D" w14:textId="77777777" w:rsidR="0070589C" w:rsidRDefault="0070589C" w:rsidP="0070589C">
      <w:pPr>
        <w:widowControl/>
        <w:shd w:val="clear" w:color="auto" w:fill="FFFFFF"/>
        <w:autoSpaceDE/>
        <w:autoSpaceDN/>
        <w:adjustRightInd/>
        <w:ind w:right="540" w:firstLine="720"/>
        <w:jc w:val="both"/>
        <w:textAlignment w:val="baseline"/>
        <w:rPr>
          <w:rFonts w:eastAsia="Times New Roman"/>
          <w:sz w:val="24"/>
          <w:szCs w:val="24"/>
        </w:rPr>
      </w:pPr>
      <w:r>
        <w:rPr>
          <w:rFonts w:eastAsia="Times New Roman"/>
          <w:sz w:val="24"/>
          <w:szCs w:val="24"/>
        </w:rPr>
        <w:t xml:space="preserve">In this note, the question is raised about the relation between “tribal consultation” (flowing from concepts of tribal sovereignty and the federal trust responsibility) and “meaningful involvement” (one of the twin pillars of environmental justice).  Students should see that tribal consultation may present much broader and more affirmative obligations for agencies working with tribes.  For example, whereas meaningful involvement focuses on satisfying procedural rights for interested stakeholders to engage in discussions on proposed actions, the federal trust responsibility implies a substantive right for tribes as sovereigns to approve, disapprove, or seek to modify proposals.  </w:t>
      </w:r>
    </w:p>
    <w:p w14:paraId="103FBB32" w14:textId="77777777" w:rsidR="0070589C" w:rsidRDefault="0070589C" w:rsidP="0070589C">
      <w:pPr>
        <w:widowControl/>
        <w:shd w:val="clear" w:color="auto" w:fill="FFFFFF"/>
        <w:autoSpaceDE/>
        <w:autoSpaceDN/>
        <w:adjustRightInd/>
        <w:ind w:right="540" w:firstLine="720"/>
        <w:jc w:val="both"/>
        <w:textAlignment w:val="baseline"/>
        <w:rPr>
          <w:rFonts w:eastAsia="Times New Roman"/>
          <w:sz w:val="24"/>
          <w:szCs w:val="24"/>
        </w:rPr>
      </w:pPr>
    </w:p>
    <w:p w14:paraId="77FD2488" w14:textId="77777777" w:rsidR="0070589C" w:rsidRPr="007C1DA4" w:rsidRDefault="0070589C" w:rsidP="0070589C">
      <w:pPr>
        <w:widowControl/>
        <w:shd w:val="clear" w:color="auto" w:fill="FFFFFF"/>
        <w:autoSpaceDE/>
        <w:autoSpaceDN/>
        <w:adjustRightInd/>
        <w:ind w:right="540" w:firstLine="720"/>
        <w:jc w:val="both"/>
        <w:textAlignment w:val="baseline"/>
        <w:rPr>
          <w:rFonts w:eastAsia="Times New Roman"/>
        </w:rPr>
      </w:pPr>
      <w:r>
        <w:rPr>
          <w:rFonts w:eastAsia="Times New Roman"/>
          <w:sz w:val="24"/>
          <w:szCs w:val="24"/>
        </w:rPr>
        <w:lastRenderedPageBreak/>
        <w:t>Of course, federal agencies and federal courts do not automatically do what tribes want.  For example, as indicated at the end of this note, the federal court hearing the challenge of the Standing Rock Sioux Tribe to construction of the Dakota Access Pipeline denied the Tribe’s petition for injunction and allowed the pipeline to be constructed and begin operation notwithstanding violations of the National Environmental Policy Act.  However, on July 6, 2020, the same court granted the Tribe’s proposed remedy for the environmental violation, ordering the pipeline to be drained and shut down within 30 days.  Standing Rock Sioux Tribe v. U.S. Army Corps, 2020 WL 3634426. On July 13, 2020, the defendants U.S. Army Corps of Engineers filed an emergency motion to stay the pipeline shutdown.</w:t>
      </w:r>
    </w:p>
    <w:p w14:paraId="456F7E86" w14:textId="77777777" w:rsidR="0070589C" w:rsidRPr="00883234" w:rsidRDefault="0070589C" w:rsidP="0070589C">
      <w:pPr>
        <w:pStyle w:val="ListParagraph"/>
        <w:widowControl/>
        <w:shd w:val="clear" w:color="auto" w:fill="FFFFFF"/>
        <w:autoSpaceDE/>
        <w:autoSpaceDN/>
        <w:adjustRightInd/>
        <w:ind w:left="720" w:firstLine="0"/>
        <w:jc w:val="both"/>
        <w:textAlignment w:val="baseline"/>
        <w:rPr>
          <w:rFonts w:eastAsia="Times New Roman"/>
        </w:rPr>
      </w:pPr>
    </w:p>
    <w:p w14:paraId="6155C41A" w14:textId="77777777" w:rsidR="0070589C" w:rsidRDefault="0070589C" w:rsidP="0070589C">
      <w:pPr>
        <w:widowControl/>
        <w:shd w:val="clear" w:color="auto" w:fill="FFFFFF"/>
        <w:autoSpaceDE/>
        <w:autoSpaceDN/>
        <w:adjustRightInd/>
        <w:ind w:right="540" w:firstLine="720"/>
        <w:jc w:val="both"/>
        <w:textAlignment w:val="baseline"/>
        <w:rPr>
          <w:rFonts w:eastAsia="Times New Roman"/>
        </w:rPr>
      </w:pPr>
      <w:r w:rsidRPr="004E4088">
        <w:rPr>
          <w:b/>
          <w:bCs/>
          <w:sz w:val="24"/>
          <w:szCs w:val="24"/>
        </w:rPr>
        <w:t>3. Tribal connections to land.</w:t>
      </w:r>
      <w:r w:rsidRPr="004E4088">
        <w:rPr>
          <w:sz w:val="24"/>
          <w:szCs w:val="24"/>
        </w:rPr>
        <w:t xml:space="preserve"> </w:t>
      </w:r>
      <w:r>
        <w:rPr>
          <w:sz w:val="24"/>
          <w:szCs w:val="24"/>
        </w:rPr>
        <w:t xml:space="preserve">  The anecdote here involving members of the Shoshone-Bannock Tribes and land now included within Yellowstone National Park provides a powerful illustration of connections that some indigenous people may have with certain lands and resources beyond the boundaries of Indian reservations or other political geographies.  Instructors might explore with students the lands where their school, their homes, or other familiar places are located, and whether these places may represent homelands or sacred spaces for tribes who may have been displaced but retain important connections to these lands. </w:t>
      </w:r>
    </w:p>
    <w:p w14:paraId="32510917" w14:textId="77777777" w:rsidR="0070589C" w:rsidRDefault="0070589C" w:rsidP="0070589C">
      <w:pPr>
        <w:widowControl/>
        <w:shd w:val="clear" w:color="auto" w:fill="FFFFFF"/>
        <w:autoSpaceDE/>
        <w:autoSpaceDN/>
        <w:adjustRightInd/>
        <w:ind w:right="540" w:firstLine="720"/>
        <w:jc w:val="both"/>
        <w:textAlignment w:val="baseline"/>
        <w:rPr>
          <w:rFonts w:eastAsia="Times New Roman"/>
        </w:rPr>
      </w:pPr>
    </w:p>
    <w:p w14:paraId="69D6838E" w14:textId="77777777" w:rsidR="0070589C" w:rsidRPr="00D21E4A" w:rsidRDefault="0070589C" w:rsidP="0070589C">
      <w:pPr>
        <w:widowControl/>
        <w:shd w:val="clear" w:color="auto" w:fill="FFFFFF"/>
        <w:autoSpaceDE/>
        <w:autoSpaceDN/>
        <w:adjustRightInd/>
        <w:ind w:right="540" w:firstLine="720"/>
        <w:jc w:val="both"/>
        <w:textAlignment w:val="baseline"/>
        <w:rPr>
          <w:rFonts w:eastAsia="Times New Roman"/>
          <w:sz w:val="24"/>
          <w:szCs w:val="24"/>
        </w:rPr>
      </w:pPr>
      <w:r w:rsidRPr="00D21E4A">
        <w:rPr>
          <w:b/>
          <w:bCs/>
          <w:sz w:val="24"/>
          <w:szCs w:val="24"/>
        </w:rPr>
        <w:t xml:space="preserve">4.  </w:t>
      </w:r>
      <w:r>
        <w:rPr>
          <w:b/>
          <w:bCs/>
          <w:sz w:val="24"/>
          <w:szCs w:val="24"/>
        </w:rPr>
        <w:t>International la</w:t>
      </w:r>
      <w:r w:rsidRPr="00D21E4A">
        <w:rPr>
          <w:b/>
          <w:bCs/>
          <w:sz w:val="24"/>
          <w:szCs w:val="24"/>
        </w:rPr>
        <w:t>w.</w:t>
      </w:r>
      <w:r w:rsidRPr="00D21E4A">
        <w:rPr>
          <w:sz w:val="24"/>
          <w:szCs w:val="24"/>
        </w:rPr>
        <w:t xml:space="preserve"> Students (and instructors) often are drawn to international law as a poss</w:t>
      </w:r>
      <w:r>
        <w:rPr>
          <w:sz w:val="24"/>
          <w:szCs w:val="24"/>
        </w:rPr>
        <w:t xml:space="preserve">ible remedy for what may be seen as abuses of human rights, including the rights of indigenous peoples.  While international law is supported by abundant theory and scholarship, the note demonstrates the difficulty that many practitioners may encounter in pursuing these theories.  For example, while the UN Special Rapporteur investigating complaints regarding the Dakota Access Pipeline identified many potential violations under the UN Declaration on the Rights of Indigenous People (UNDRIP), the Trump Administration effectively shrugged and continued to support the pipeline construction without pause. </w:t>
      </w:r>
    </w:p>
    <w:p w14:paraId="6581D45F" w14:textId="77777777" w:rsidR="0070589C" w:rsidRPr="00883234" w:rsidRDefault="0070589C" w:rsidP="0070589C">
      <w:pPr>
        <w:pStyle w:val="BodyText"/>
        <w:kinsoku w:val="0"/>
        <w:overflowPunct w:val="0"/>
        <w:spacing w:before="7"/>
        <w:jc w:val="both"/>
      </w:pPr>
    </w:p>
    <w:p w14:paraId="40BD2F08" w14:textId="77777777" w:rsidR="0070589C" w:rsidRDefault="0070589C" w:rsidP="0070589C">
      <w:pPr>
        <w:pStyle w:val="Heading1"/>
        <w:numPr>
          <w:ilvl w:val="0"/>
          <w:numId w:val="24"/>
        </w:numPr>
        <w:tabs>
          <w:tab w:val="left" w:pos="501"/>
        </w:tabs>
        <w:kinsoku w:val="0"/>
        <w:overflowPunct w:val="0"/>
        <w:spacing w:before="1"/>
        <w:jc w:val="both"/>
      </w:pPr>
      <w:bookmarkStart w:id="25" w:name="Page_227"/>
      <w:bookmarkEnd w:id="25"/>
      <w:r>
        <w:t>Tribes as Resource Managers</w:t>
      </w:r>
    </w:p>
    <w:p w14:paraId="34C21CAD" w14:textId="77777777" w:rsidR="0070589C" w:rsidRDefault="0070589C" w:rsidP="0070589C">
      <w:pPr>
        <w:jc w:val="both"/>
      </w:pPr>
    </w:p>
    <w:p w14:paraId="15D2D95D" w14:textId="77777777" w:rsidR="0070589C" w:rsidRPr="00065A6C" w:rsidRDefault="0070589C" w:rsidP="0070589C">
      <w:pPr>
        <w:ind w:right="540" w:firstLine="720"/>
        <w:jc w:val="both"/>
        <w:rPr>
          <w:color w:val="000000" w:themeColor="text1"/>
          <w:sz w:val="24"/>
          <w:szCs w:val="24"/>
        </w:rPr>
      </w:pPr>
      <w:r>
        <w:rPr>
          <w:color w:val="000000" w:themeColor="text1"/>
          <w:sz w:val="24"/>
          <w:szCs w:val="24"/>
        </w:rPr>
        <w:t xml:space="preserve">This section discusses another major difference for EJ in Indian country; whereas as many grassroots activists may have a personal and even financial stake in environmental decisions that affect them, tribes may have the direct legal authority to make those environmental decisions.  As indicated by the excerpt from Prof. Rebecca Tsosie, the decisions that tribes make are not necessarily ones that mainstream environmentalists or EJ advocates would endorse, but they may be entitled to respect as valid exercises of tribal sovereignty over areas within tribal jurisdiction. </w:t>
      </w:r>
      <w:r w:rsidRPr="00065A6C">
        <w:rPr>
          <w:color w:val="000000" w:themeColor="text1"/>
          <w:sz w:val="24"/>
          <w:szCs w:val="24"/>
        </w:rPr>
        <w:t>Data from the Bureau of Indian Affairs indicates that approximately 56.6 million acres are held in trust by the government for tribes (44 million acres) and individual Indians (11 million acres). A number of tribes still have reservations. There are 326 federal Indian reservations or other tribal land areas, including Pueblos and Rancherias.</w:t>
      </w:r>
    </w:p>
    <w:p w14:paraId="54E98752" w14:textId="77777777" w:rsidR="0070589C" w:rsidRDefault="0070589C" w:rsidP="0070589C">
      <w:pPr>
        <w:jc w:val="both"/>
      </w:pPr>
    </w:p>
    <w:p w14:paraId="1DF93A05" w14:textId="77777777" w:rsidR="0070589C" w:rsidRPr="00C36BF4" w:rsidRDefault="0070589C" w:rsidP="0070589C">
      <w:pPr>
        <w:jc w:val="center"/>
        <w:rPr>
          <w:b/>
          <w:bCs/>
          <w:i/>
          <w:iCs/>
          <w:sz w:val="28"/>
          <w:szCs w:val="28"/>
        </w:rPr>
      </w:pPr>
      <w:r w:rsidRPr="00C36BF4">
        <w:rPr>
          <w:b/>
          <w:bCs/>
          <w:i/>
          <w:iCs/>
          <w:sz w:val="28"/>
          <w:szCs w:val="28"/>
        </w:rPr>
        <w:t>Notes and Questions</w:t>
      </w:r>
      <w:r>
        <w:rPr>
          <w:b/>
          <w:bCs/>
          <w:i/>
          <w:iCs/>
          <w:sz w:val="28"/>
          <w:szCs w:val="28"/>
        </w:rPr>
        <w:t xml:space="preserve"> </w:t>
      </w:r>
    </w:p>
    <w:p w14:paraId="7D339480" w14:textId="77777777" w:rsidR="0070589C" w:rsidRDefault="0070589C" w:rsidP="0070589C">
      <w:pPr>
        <w:widowControl/>
        <w:autoSpaceDE/>
        <w:autoSpaceDN/>
        <w:adjustRightInd/>
        <w:jc w:val="both"/>
        <w:rPr>
          <w:b/>
          <w:bCs/>
          <w:sz w:val="24"/>
          <w:szCs w:val="24"/>
        </w:rPr>
      </w:pPr>
    </w:p>
    <w:p w14:paraId="3ED4E5AA" w14:textId="77777777" w:rsidR="0070589C" w:rsidRPr="00C74070" w:rsidRDefault="0070589C" w:rsidP="0070589C">
      <w:pPr>
        <w:pStyle w:val="BodyText"/>
        <w:ind w:right="540" w:firstLine="720"/>
        <w:jc w:val="both"/>
      </w:pPr>
      <w:r w:rsidRPr="00C74070">
        <w:rPr>
          <w:b/>
          <w:bCs/>
        </w:rPr>
        <w:t>1.</w:t>
      </w:r>
      <w:r>
        <w:rPr>
          <w:b/>
          <w:bCs/>
        </w:rPr>
        <w:t xml:space="preserve"> </w:t>
      </w:r>
      <w:r w:rsidRPr="00C74070">
        <w:rPr>
          <w:b/>
          <w:bCs/>
        </w:rPr>
        <w:t>Indigenous land ethic.</w:t>
      </w:r>
      <w:r>
        <w:t xml:space="preserve">  </w:t>
      </w:r>
      <w:r w:rsidRPr="00C74070">
        <w:t xml:space="preserve">Traditional land ethics and environmental knowledge have been fully taken into consideration </w:t>
      </w:r>
      <w:r>
        <w:t>during</w:t>
      </w:r>
      <w:r w:rsidRPr="00C74070">
        <w:t xml:space="preserve"> these discussions on tribal environmental policy.  </w:t>
      </w:r>
      <w:r w:rsidRPr="00C74070">
        <w:lastRenderedPageBreak/>
        <w:t xml:space="preserve">Tsosie points out that there are examples of Anglo-American norms </w:t>
      </w:r>
      <w:r>
        <w:t>being</w:t>
      </w:r>
      <w:r w:rsidRPr="00C74070">
        <w:t xml:space="preserve"> used to create tribal policy instead of tribal ecological norms. </w:t>
      </w:r>
      <w:r w:rsidRPr="00C74070">
        <w:rPr>
          <w:spacing w:val="-3"/>
        </w:rPr>
        <w:t xml:space="preserve">It </w:t>
      </w:r>
      <w:r w:rsidRPr="00C74070">
        <w:t>may be worth reminding students that under most environmental laws, states and tribes have considerable discretion to vary from national standards, at least to impose standards</w:t>
      </w:r>
      <w:r w:rsidRPr="00C74070">
        <w:rPr>
          <w:spacing w:val="-20"/>
        </w:rPr>
        <w:t xml:space="preserve"> </w:t>
      </w:r>
      <w:r w:rsidRPr="00C74070">
        <w:rPr>
          <w:spacing w:val="-4"/>
        </w:rPr>
        <w:t xml:space="preserve">that </w:t>
      </w:r>
      <w:r w:rsidRPr="00C74070">
        <w:t>are more stringent than the federally mandated floor.</w:t>
      </w:r>
    </w:p>
    <w:p w14:paraId="087B8BA5" w14:textId="77777777" w:rsidR="0070589C" w:rsidRDefault="0070589C" w:rsidP="0070589C">
      <w:pPr>
        <w:jc w:val="both"/>
      </w:pPr>
    </w:p>
    <w:p w14:paraId="06A8E71A" w14:textId="77777777" w:rsidR="0070589C" w:rsidRDefault="0070589C" w:rsidP="0070589C">
      <w:pPr>
        <w:widowControl/>
        <w:shd w:val="clear" w:color="auto" w:fill="FFFFFF"/>
        <w:autoSpaceDE/>
        <w:autoSpaceDN/>
        <w:adjustRightInd/>
        <w:spacing w:after="288"/>
        <w:ind w:right="540" w:firstLine="720"/>
        <w:jc w:val="both"/>
        <w:rPr>
          <w:rFonts w:eastAsia="Times New Roman"/>
          <w:color w:val="000000" w:themeColor="text1"/>
          <w:sz w:val="24"/>
          <w:szCs w:val="24"/>
        </w:rPr>
      </w:pPr>
      <w:r>
        <w:rPr>
          <w:b/>
          <w:bCs/>
          <w:color w:val="000000" w:themeColor="text1"/>
          <w:sz w:val="24"/>
          <w:szCs w:val="24"/>
        </w:rPr>
        <w:t>2</w:t>
      </w:r>
      <w:r w:rsidRPr="005E0CDB">
        <w:rPr>
          <w:b/>
          <w:bCs/>
          <w:color w:val="000000" w:themeColor="text1"/>
          <w:sz w:val="24"/>
          <w:szCs w:val="24"/>
        </w:rPr>
        <w:t>.</w:t>
      </w:r>
      <w:r w:rsidRPr="001731B2">
        <w:rPr>
          <w:color w:val="000000" w:themeColor="text1"/>
          <w:sz w:val="24"/>
          <w:szCs w:val="24"/>
        </w:rPr>
        <w:t xml:space="preserve"> </w:t>
      </w:r>
      <w:r w:rsidRPr="005E0CDB">
        <w:rPr>
          <w:b/>
          <w:bCs/>
          <w:i/>
          <w:iCs/>
          <w:color w:val="000000" w:themeColor="text1"/>
          <w:sz w:val="24"/>
          <w:szCs w:val="24"/>
        </w:rPr>
        <w:t>Nance v. U.S. EPA</w:t>
      </w:r>
      <w:r w:rsidRPr="005E0CDB">
        <w:rPr>
          <w:b/>
          <w:bCs/>
          <w:color w:val="000000" w:themeColor="text1"/>
          <w:sz w:val="24"/>
          <w:szCs w:val="24"/>
        </w:rPr>
        <w:t>.</w:t>
      </w:r>
      <w:r>
        <w:rPr>
          <w:color w:val="000000" w:themeColor="text1"/>
          <w:sz w:val="24"/>
          <w:szCs w:val="24"/>
        </w:rPr>
        <w:t xml:space="preserve"> </w:t>
      </w:r>
      <w:r w:rsidRPr="00051994">
        <w:rPr>
          <w:color w:val="000000" w:themeColor="text1"/>
          <w:sz w:val="24"/>
          <w:szCs w:val="24"/>
        </w:rPr>
        <w:t xml:space="preserve">Native land matters tend to be complicated. </w:t>
      </w:r>
      <w:r w:rsidRPr="00051994">
        <w:rPr>
          <w:rFonts w:eastAsia="Times New Roman"/>
          <w:color w:val="000000" w:themeColor="text1"/>
          <w:sz w:val="24"/>
          <w:szCs w:val="24"/>
        </w:rPr>
        <w:t xml:space="preserve">Historic policies created non-Indian ownership for portions of reservations and tribal lands. The resulting checkerboard land ownership has created a great deal of dispute over which government – tribal or state – has jurisdiction over the non-Indians’ land along with conduct and activities of Indians and non-members on the lands. (Native American Rights Fund, Protect Tribal Resources, </w:t>
      </w:r>
      <w:hyperlink r:id="rId34" w:history="1">
        <w:r w:rsidRPr="00051994">
          <w:rPr>
            <w:rStyle w:val="Hyperlink"/>
            <w:color w:val="000000" w:themeColor="text1"/>
            <w:sz w:val="24"/>
            <w:szCs w:val="24"/>
          </w:rPr>
          <w:t>https://www.narf.org/our-work/protection-tribal-natural-resources/</w:t>
        </w:r>
      </w:hyperlink>
      <w:r w:rsidRPr="00051994">
        <w:rPr>
          <w:color w:val="000000" w:themeColor="text1"/>
          <w:sz w:val="24"/>
          <w:szCs w:val="24"/>
        </w:rPr>
        <w:t>. This question invites discussion of the purpose of environmental protection with respect to indigenous rights. EPA’s forced redesign sought to protect air quality on the nearb</w:t>
      </w:r>
      <w:r>
        <w:rPr>
          <w:color w:val="000000" w:themeColor="text1"/>
          <w:sz w:val="24"/>
          <w:szCs w:val="24"/>
        </w:rPr>
        <w:t xml:space="preserve">y Northern Cheyenne reservation, over the objections of the neighboring Crow Tribe.  This may have been the best result for the environment and protection of public health on both the Northern Cheyenne and Crow reservations, but at what costs to each tribe?  </w:t>
      </w:r>
    </w:p>
    <w:p w14:paraId="18B67FBA" w14:textId="77777777" w:rsidR="0070589C" w:rsidRDefault="0070589C" w:rsidP="0070589C">
      <w:pPr>
        <w:widowControl/>
        <w:shd w:val="clear" w:color="auto" w:fill="FFFFFF"/>
        <w:autoSpaceDE/>
        <w:autoSpaceDN/>
        <w:adjustRightInd/>
        <w:spacing w:after="288"/>
        <w:ind w:right="540" w:firstLine="720"/>
        <w:jc w:val="both"/>
        <w:rPr>
          <w:rFonts w:eastAsia="Times New Roman"/>
          <w:b/>
          <w:bCs/>
          <w:color w:val="000000" w:themeColor="text1"/>
          <w:sz w:val="24"/>
          <w:szCs w:val="24"/>
        </w:rPr>
      </w:pPr>
      <w:r>
        <w:rPr>
          <w:rFonts w:eastAsia="Times New Roman"/>
          <w:b/>
          <w:bCs/>
          <w:color w:val="000000" w:themeColor="text1"/>
          <w:sz w:val="24"/>
          <w:szCs w:val="24"/>
        </w:rPr>
        <w:t xml:space="preserve">3.  Campo landfill proposal.  </w:t>
      </w:r>
      <w:r>
        <w:rPr>
          <w:rFonts w:eastAsia="Times New Roman"/>
          <w:bCs/>
          <w:color w:val="000000" w:themeColor="text1"/>
          <w:sz w:val="24"/>
          <w:szCs w:val="24"/>
        </w:rPr>
        <w:t xml:space="preserve">This note, discussing a famous clash between indigenous rights and mainstream environmental activism, may inspire vigorous classroom discussion.  A more modern and continuing debate may be oil and gas development on tribal lands.  Should such resource exploitation be encouraged for purposes of funding tribal schools, hospitals, and other services, even in the face of mounting evidence of global climate disruption caused by such development?  </w:t>
      </w:r>
    </w:p>
    <w:p w14:paraId="2C4ECDA6" w14:textId="77777777" w:rsidR="0070589C" w:rsidRPr="005E0CDB" w:rsidRDefault="0070589C" w:rsidP="0070589C">
      <w:pPr>
        <w:widowControl/>
        <w:shd w:val="clear" w:color="auto" w:fill="FFFFFF"/>
        <w:autoSpaceDE/>
        <w:autoSpaceDN/>
        <w:adjustRightInd/>
        <w:spacing w:after="288"/>
        <w:ind w:right="540" w:firstLine="720"/>
        <w:jc w:val="both"/>
        <w:rPr>
          <w:rStyle w:val="BodyTextChar"/>
          <w:rFonts w:eastAsia="Times New Roman"/>
          <w:color w:val="000000" w:themeColor="text1"/>
        </w:rPr>
      </w:pPr>
      <w:r w:rsidRPr="005E0CDB">
        <w:rPr>
          <w:rFonts w:eastAsia="Times New Roman"/>
          <w:b/>
          <w:bCs/>
          <w:color w:val="000000" w:themeColor="text1"/>
          <w:sz w:val="24"/>
          <w:szCs w:val="24"/>
        </w:rPr>
        <w:t>4. National Bison Range Management.</w:t>
      </w:r>
      <w:r>
        <w:rPr>
          <w:rFonts w:eastAsia="Times New Roman"/>
          <w:color w:val="000000" w:themeColor="text1"/>
          <w:sz w:val="24"/>
          <w:szCs w:val="24"/>
        </w:rPr>
        <w:t xml:space="preserve"> </w:t>
      </w:r>
      <w:r w:rsidRPr="005E0CDB">
        <w:rPr>
          <w:sz w:val="24"/>
          <w:szCs w:val="24"/>
        </w:rPr>
        <w:t xml:space="preserve">“The story of how tribal members brought bison across the Continental Divide to the Flathead Reservation is one of conservation, adaptation, and cultural transition. It is primarily recorded in oral history. Some of the written accounts of that oral history, which were often transcribed by non-Indians, contain differences, but their general theme remains the same.” Brian Upton, </w:t>
      </w:r>
      <w:hyperlink r:id="rId35" w:history="1">
        <w:r w:rsidRPr="005E0CDB">
          <w:rPr>
            <w:rStyle w:val="BodyTextChar"/>
            <w:i/>
            <w:iCs/>
          </w:rPr>
          <w:t>Returning to a Tribal Self-Governance Partnership at the National Bison Range Complex: Historical, Legal, and Global Perspectives</w:t>
        </w:r>
      </w:hyperlink>
      <w:r w:rsidRPr="005E0CDB">
        <w:rPr>
          <w:rStyle w:val="BodyTextChar"/>
          <w:i/>
          <w:iCs/>
        </w:rPr>
        <w:t xml:space="preserve">, </w:t>
      </w:r>
      <w:r w:rsidRPr="005E0CDB">
        <w:rPr>
          <w:rStyle w:val="BodyTextChar"/>
        </w:rPr>
        <w:t xml:space="preserve">35 </w:t>
      </w:r>
      <w:r w:rsidRPr="005E0CDB">
        <w:rPr>
          <w:rStyle w:val="BodyTextChar"/>
          <w:smallCaps/>
        </w:rPr>
        <w:t>Pub. Land &amp; Resources L. Rev.</w:t>
      </w:r>
      <w:r w:rsidRPr="005E0CDB">
        <w:rPr>
          <w:rStyle w:val="BodyTextChar"/>
        </w:rPr>
        <w:t xml:space="preserve"> 52 (2015).</w:t>
      </w:r>
    </w:p>
    <w:p w14:paraId="6634334B" w14:textId="77777777" w:rsidR="0070589C" w:rsidRPr="000866F6" w:rsidRDefault="0070589C" w:rsidP="0070589C">
      <w:pPr>
        <w:pStyle w:val="ListParagraph"/>
        <w:widowControl/>
        <w:shd w:val="clear" w:color="auto" w:fill="FFFFFF"/>
        <w:autoSpaceDE/>
        <w:autoSpaceDN/>
        <w:adjustRightInd/>
        <w:spacing w:after="288"/>
        <w:ind w:left="1080" w:right="990" w:firstLine="0"/>
        <w:jc w:val="both"/>
        <w:rPr>
          <w:rFonts w:eastAsia="Times New Roman"/>
          <w:color w:val="3A312A"/>
        </w:rPr>
      </w:pPr>
      <w:r>
        <w:rPr>
          <w:rStyle w:val="BodyTextChar"/>
        </w:rPr>
        <w:t>T</w:t>
      </w:r>
      <w:r>
        <w:t xml:space="preserve">he Range first became the subject of tribal partnership requests immediately after the TSGA was enacted in 1994, when CSKT Tribal Chairman Michael T. Pablo requested negotiations with DOI and FWS for a Tribal Self-Governance agreement at the NBRC. Ten years later, after multiple difficult negotiation attempts, the parties reached an agreement in December 2004, covering fiscal years (FY) 2005–06. Under that agreement, CSKT contracted portions of the NBRC’s visitor services, biology, maintenance, and fire control programs, and placed Tribal staff at the NBRC to perform the work under a newly created Coordinator position. The agreement was extended in 2006 pending negotiation of a successor agreement. Months later, however, it was abruptly cancelled by FWS largely due to acrimony on the part of individual FWS employees who had opposed the agreement even before it had been signed. </w:t>
      </w:r>
      <w:r w:rsidRPr="000866F6">
        <w:rPr>
          <w:i/>
          <w:iCs/>
        </w:rPr>
        <w:t>Id.</w:t>
      </w:r>
      <w:r>
        <w:t xml:space="preserve"> (internal citations omitted).</w:t>
      </w:r>
    </w:p>
    <w:p w14:paraId="7BA0A3DA" w14:textId="77777777" w:rsidR="0070589C" w:rsidRDefault="0070589C" w:rsidP="0070589C">
      <w:pPr>
        <w:widowControl/>
        <w:shd w:val="clear" w:color="auto" w:fill="FFFFFF"/>
        <w:autoSpaceDE/>
        <w:autoSpaceDN/>
        <w:adjustRightInd/>
        <w:spacing w:after="288"/>
        <w:ind w:right="540"/>
        <w:jc w:val="both"/>
        <w:rPr>
          <w:rStyle w:val="BodyTextChar"/>
          <w:rFonts w:eastAsia="Times New Roman"/>
          <w:color w:val="000000" w:themeColor="text1"/>
        </w:rPr>
      </w:pPr>
      <w:r w:rsidRPr="00065A6C">
        <w:rPr>
          <w:color w:val="000000" w:themeColor="text1"/>
          <w:spacing w:val="-3"/>
          <w:sz w:val="24"/>
          <w:szCs w:val="24"/>
        </w:rPr>
        <w:lastRenderedPageBreak/>
        <w:t xml:space="preserve">Legal </w:t>
      </w:r>
      <w:r w:rsidRPr="00065A6C">
        <w:rPr>
          <w:color w:val="000000" w:themeColor="text1"/>
          <w:sz w:val="24"/>
          <w:szCs w:val="24"/>
        </w:rPr>
        <w:t xml:space="preserve">questions of tribal authority over non-Indians living within reservations can become quite complex, and the extent of the authority varies depending on whether or not the nonmembers are on Indian lands or private in-holdings. Generally, tribes cannot regulate </w:t>
      </w:r>
      <w:r w:rsidRPr="00065A6C">
        <w:rPr>
          <w:color w:val="000000" w:themeColor="text1"/>
          <w:spacing w:val="-5"/>
          <w:sz w:val="24"/>
          <w:szCs w:val="24"/>
        </w:rPr>
        <w:t xml:space="preserve">the </w:t>
      </w:r>
      <w:r w:rsidRPr="00065A6C">
        <w:rPr>
          <w:color w:val="000000" w:themeColor="text1"/>
          <w:sz w:val="24"/>
          <w:szCs w:val="24"/>
        </w:rPr>
        <w:t xml:space="preserve">activities of non-Indians on privately held lands unless the non-Indians enter into contracts with the tribe or the conduct of the non-Indians directly affects the political integrity or health and welfare of the tribe. For more discussion, see Judith V. Royster, </w:t>
      </w:r>
      <w:r w:rsidRPr="00065A6C">
        <w:rPr>
          <w:i/>
          <w:iCs/>
          <w:color w:val="000000" w:themeColor="text1"/>
          <w:sz w:val="24"/>
          <w:szCs w:val="24"/>
        </w:rPr>
        <w:t xml:space="preserve">Native </w:t>
      </w:r>
      <w:r w:rsidRPr="00065A6C">
        <w:rPr>
          <w:i/>
          <w:iCs/>
          <w:color w:val="000000" w:themeColor="text1"/>
          <w:spacing w:val="-3"/>
          <w:sz w:val="24"/>
          <w:szCs w:val="24"/>
        </w:rPr>
        <w:t xml:space="preserve">American </w:t>
      </w:r>
      <w:r w:rsidRPr="00065A6C">
        <w:rPr>
          <w:i/>
          <w:iCs/>
          <w:color w:val="000000" w:themeColor="text1"/>
          <w:sz w:val="24"/>
          <w:szCs w:val="24"/>
        </w:rPr>
        <w:t xml:space="preserve">Law, in </w:t>
      </w:r>
      <w:r w:rsidRPr="00065A6C">
        <w:rPr>
          <w:smallCaps/>
          <w:color w:val="000000" w:themeColor="text1"/>
          <w:spacing w:val="2"/>
          <w:sz w:val="24"/>
          <w:szCs w:val="24"/>
        </w:rPr>
        <w:t xml:space="preserve">The </w:t>
      </w:r>
      <w:r w:rsidRPr="00065A6C">
        <w:rPr>
          <w:smallCaps/>
          <w:color w:val="000000" w:themeColor="text1"/>
          <w:sz w:val="24"/>
          <w:szCs w:val="24"/>
        </w:rPr>
        <w:t xml:space="preserve">Law </w:t>
      </w:r>
      <w:r w:rsidRPr="00065A6C">
        <w:rPr>
          <w:smallCaps/>
          <w:color w:val="000000" w:themeColor="text1"/>
          <w:spacing w:val="5"/>
          <w:sz w:val="24"/>
          <w:szCs w:val="24"/>
        </w:rPr>
        <w:t xml:space="preserve">of </w:t>
      </w:r>
      <w:r w:rsidRPr="00065A6C">
        <w:rPr>
          <w:smallCaps/>
          <w:color w:val="000000" w:themeColor="text1"/>
          <w:spacing w:val="6"/>
          <w:sz w:val="24"/>
          <w:szCs w:val="24"/>
        </w:rPr>
        <w:t xml:space="preserve">Environmental </w:t>
      </w:r>
      <w:r w:rsidRPr="00065A6C">
        <w:rPr>
          <w:smallCaps/>
          <w:color w:val="000000" w:themeColor="text1"/>
          <w:spacing w:val="5"/>
          <w:sz w:val="24"/>
          <w:szCs w:val="24"/>
        </w:rPr>
        <w:t xml:space="preserve">Justice: Theories </w:t>
      </w:r>
      <w:r w:rsidRPr="00065A6C">
        <w:rPr>
          <w:smallCaps/>
          <w:color w:val="000000" w:themeColor="text1"/>
          <w:spacing w:val="6"/>
          <w:sz w:val="24"/>
          <w:szCs w:val="24"/>
        </w:rPr>
        <w:t>and Procedures to Address Disproportionate Risks</w:t>
      </w:r>
      <w:r w:rsidRPr="00065A6C">
        <w:rPr>
          <w:color w:val="000000" w:themeColor="text1"/>
          <w:spacing w:val="3"/>
          <w:sz w:val="24"/>
          <w:szCs w:val="24"/>
        </w:rPr>
        <w:t>,</w:t>
      </w:r>
      <w:r w:rsidRPr="00065A6C">
        <w:rPr>
          <w:color w:val="000000" w:themeColor="text1"/>
          <w:spacing w:val="-15"/>
          <w:sz w:val="24"/>
          <w:szCs w:val="24"/>
        </w:rPr>
        <w:t xml:space="preserve"> </w:t>
      </w:r>
      <w:r w:rsidRPr="00065A6C">
        <w:rPr>
          <w:color w:val="000000" w:themeColor="text1"/>
          <w:sz w:val="24"/>
          <w:szCs w:val="24"/>
        </w:rPr>
        <w:t>157-164</w:t>
      </w:r>
      <w:r w:rsidRPr="00065A6C">
        <w:rPr>
          <w:color w:val="000000" w:themeColor="text1"/>
          <w:spacing w:val="-5"/>
          <w:sz w:val="24"/>
          <w:szCs w:val="24"/>
        </w:rPr>
        <w:t xml:space="preserve"> </w:t>
      </w:r>
      <w:r w:rsidRPr="00065A6C">
        <w:rPr>
          <w:color w:val="000000" w:themeColor="text1"/>
          <w:sz w:val="24"/>
          <w:szCs w:val="24"/>
        </w:rPr>
        <w:t>(Michael</w:t>
      </w:r>
      <w:r w:rsidRPr="00065A6C">
        <w:rPr>
          <w:color w:val="000000" w:themeColor="text1"/>
          <w:spacing w:val="-4"/>
          <w:sz w:val="24"/>
          <w:szCs w:val="24"/>
        </w:rPr>
        <w:t xml:space="preserve"> </w:t>
      </w:r>
      <w:r w:rsidRPr="00065A6C">
        <w:rPr>
          <w:color w:val="000000" w:themeColor="text1"/>
          <w:sz w:val="24"/>
          <w:szCs w:val="24"/>
        </w:rPr>
        <w:t>B.</w:t>
      </w:r>
      <w:r w:rsidRPr="00065A6C">
        <w:rPr>
          <w:color w:val="000000" w:themeColor="text1"/>
          <w:spacing w:val="-5"/>
          <w:sz w:val="24"/>
          <w:szCs w:val="24"/>
        </w:rPr>
        <w:t xml:space="preserve"> </w:t>
      </w:r>
      <w:r w:rsidRPr="00065A6C">
        <w:rPr>
          <w:color w:val="000000" w:themeColor="text1"/>
          <w:sz w:val="24"/>
          <w:szCs w:val="24"/>
        </w:rPr>
        <w:t>Gerrard.</w:t>
      </w:r>
      <w:r w:rsidRPr="00065A6C">
        <w:rPr>
          <w:color w:val="000000" w:themeColor="text1"/>
          <w:spacing w:val="-5"/>
          <w:sz w:val="24"/>
          <w:szCs w:val="24"/>
        </w:rPr>
        <w:t xml:space="preserve"> </w:t>
      </w:r>
      <w:r w:rsidRPr="00065A6C">
        <w:rPr>
          <w:color w:val="000000" w:themeColor="text1"/>
          <w:sz w:val="24"/>
          <w:szCs w:val="24"/>
        </w:rPr>
        <w:t>ed.,</w:t>
      </w:r>
      <w:r w:rsidRPr="00065A6C">
        <w:rPr>
          <w:color w:val="000000" w:themeColor="text1"/>
          <w:spacing w:val="-4"/>
          <w:sz w:val="24"/>
          <w:szCs w:val="24"/>
        </w:rPr>
        <w:t xml:space="preserve"> </w:t>
      </w:r>
      <w:r w:rsidRPr="00065A6C">
        <w:rPr>
          <w:color w:val="000000" w:themeColor="text1"/>
          <w:sz w:val="24"/>
          <w:szCs w:val="24"/>
        </w:rPr>
        <w:t>1999).</w:t>
      </w:r>
    </w:p>
    <w:p w14:paraId="5CBAD9B4" w14:textId="77777777" w:rsidR="0070589C" w:rsidRPr="0047093D" w:rsidRDefault="0070589C" w:rsidP="0070589C">
      <w:pPr>
        <w:widowControl/>
        <w:shd w:val="clear" w:color="auto" w:fill="FFFFFF"/>
        <w:autoSpaceDE/>
        <w:autoSpaceDN/>
        <w:adjustRightInd/>
        <w:spacing w:after="288"/>
        <w:ind w:right="540" w:firstLine="720"/>
        <w:jc w:val="both"/>
        <w:rPr>
          <w:rStyle w:val="BodyTextChar"/>
          <w:rFonts w:eastAsia="Times New Roman"/>
          <w:color w:val="000000" w:themeColor="text1"/>
        </w:rPr>
      </w:pPr>
      <w:r>
        <w:rPr>
          <w:rStyle w:val="BodyTextChar"/>
          <w:rFonts w:eastAsia="Times New Roman"/>
          <w:b/>
          <w:bCs/>
          <w:color w:val="000000" w:themeColor="text1"/>
        </w:rPr>
        <w:t xml:space="preserve">5.  </w:t>
      </w:r>
      <w:r w:rsidRPr="0047093D">
        <w:rPr>
          <w:rStyle w:val="BodyTextChar"/>
          <w:rFonts w:eastAsia="Times New Roman"/>
          <w:b/>
          <w:bCs/>
          <w:color w:val="000000" w:themeColor="text1"/>
        </w:rPr>
        <w:t>The Culverts case.</w:t>
      </w:r>
      <w:r w:rsidRPr="0047093D">
        <w:rPr>
          <w:rStyle w:val="BodyTextChar"/>
          <w:rFonts w:eastAsia="Times New Roman"/>
          <w:color w:val="000000" w:themeColor="text1"/>
        </w:rPr>
        <w:t xml:space="preserve"> This note on this epic litigation</w:t>
      </w:r>
      <w:r>
        <w:rPr>
          <w:rStyle w:val="BodyTextChar"/>
          <w:rFonts w:eastAsia="Times New Roman"/>
          <w:color w:val="000000" w:themeColor="text1"/>
        </w:rPr>
        <w:t xml:space="preserve"> from the Pacific Northwest</w:t>
      </w:r>
      <w:r w:rsidRPr="0047093D">
        <w:rPr>
          <w:rStyle w:val="BodyTextChar"/>
          <w:rFonts w:eastAsia="Times New Roman"/>
          <w:color w:val="000000" w:themeColor="text1"/>
        </w:rPr>
        <w:t xml:space="preserve"> is mostly self-explanatory. </w:t>
      </w:r>
      <w:r>
        <w:rPr>
          <w:rStyle w:val="BodyTextChar"/>
          <w:rFonts w:eastAsia="Times New Roman"/>
          <w:color w:val="000000" w:themeColor="text1"/>
        </w:rPr>
        <w:t xml:space="preserve"> For a good example of the value of reading concurring opinions, instructors may note that Justice Gorsuch’s concurrence in </w:t>
      </w:r>
      <w:r w:rsidRPr="00054C26">
        <w:rPr>
          <w:rStyle w:val="BodyTextChar"/>
          <w:rFonts w:eastAsia="Times New Roman"/>
          <w:i/>
          <w:color w:val="000000" w:themeColor="text1"/>
        </w:rPr>
        <w:t>Cougar Den</w:t>
      </w:r>
      <w:r>
        <w:rPr>
          <w:rStyle w:val="BodyTextChar"/>
          <w:rFonts w:eastAsia="Times New Roman"/>
          <w:color w:val="000000" w:themeColor="text1"/>
        </w:rPr>
        <w:t xml:space="preserve"> (2019) directly prefigured his majority opinion in </w:t>
      </w:r>
      <w:r w:rsidRPr="00054C26">
        <w:rPr>
          <w:rStyle w:val="BodyTextChar"/>
          <w:rFonts w:eastAsia="Times New Roman"/>
          <w:i/>
          <w:color w:val="000000" w:themeColor="text1"/>
        </w:rPr>
        <w:t>McGirt</w:t>
      </w:r>
      <w:r>
        <w:rPr>
          <w:rStyle w:val="BodyTextChar"/>
          <w:rFonts w:eastAsia="Times New Roman"/>
          <w:color w:val="000000" w:themeColor="text1"/>
        </w:rPr>
        <w:t xml:space="preserve"> (2020), a landmark win for tribal treaty rights in Oklahoma.</w:t>
      </w:r>
    </w:p>
    <w:p w14:paraId="073EC3CF" w14:textId="77777777" w:rsidR="0070589C" w:rsidRPr="00883234" w:rsidRDefault="0070589C" w:rsidP="0070589C">
      <w:pPr>
        <w:pStyle w:val="Heading1"/>
        <w:kinsoku w:val="0"/>
        <w:overflowPunct w:val="0"/>
        <w:spacing w:before="58" w:line="480" w:lineRule="auto"/>
        <w:ind w:left="0"/>
        <w:jc w:val="center"/>
      </w:pPr>
      <w:r w:rsidRPr="00883234">
        <w:t>CLASSROOM EXERCISE</w:t>
      </w:r>
    </w:p>
    <w:p w14:paraId="0DEA8184" w14:textId="77777777" w:rsidR="0070589C" w:rsidRPr="00883234" w:rsidRDefault="0070589C" w:rsidP="0070589C">
      <w:pPr>
        <w:pStyle w:val="BodyText"/>
        <w:kinsoku w:val="0"/>
        <w:overflowPunct w:val="0"/>
        <w:ind w:left="160" w:right="540" w:firstLine="720"/>
        <w:jc w:val="both"/>
      </w:pPr>
      <w:r w:rsidRPr="00883234">
        <w:t>One vehicle for stimulating discussion about the degree to which Native Americans should be allowed to control activities</w:t>
      </w:r>
      <w:r>
        <w:t xml:space="preserve"> impacting resources on Indian l</w:t>
      </w:r>
      <w:r w:rsidRPr="00883234">
        <w:t xml:space="preserve">ands would be to discuss the cases of the Dakota Access Pipeline and the Atlantic Coast Pipeline. It would be helpful to have the students </w:t>
      </w:r>
      <w:r>
        <w:t>role-play</w:t>
      </w:r>
      <w:r w:rsidRPr="00883234">
        <w:t xml:space="preserve"> federal agencies, corporate actors, and indigenous stakeholders.</w:t>
      </w:r>
    </w:p>
    <w:p w14:paraId="787769F5" w14:textId="77777777" w:rsidR="0070589C" w:rsidRPr="00883234" w:rsidRDefault="0070589C" w:rsidP="0070589C">
      <w:pPr>
        <w:pStyle w:val="BodyText"/>
        <w:kinsoku w:val="0"/>
        <w:overflowPunct w:val="0"/>
        <w:jc w:val="both"/>
      </w:pPr>
    </w:p>
    <w:p w14:paraId="1828E760" w14:textId="77777777" w:rsidR="0070589C" w:rsidRPr="00883234" w:rsidRDefault="0070589C" w:rsidP="0070589C">
      <w:pPr>
        <w:pStyle w:val="BodyText"/>
        <w:kinsoku w:val="0"/>
        <w:overflowPunct w:val="0"/>
        <w:ind w:left="160" w:right="540" w:firstLine="720"/>
        <w:jc w:val="both"/>
      </w:pPr>
      <w:r w:rsidRPr="00883234">
        <w:t xml:space="preserve">You might also devise other </w:t>
      </w:r>
      <w:r>
        <w:t>role-play</w:t>
      </w:r>
      <w:r w:rsidRPr="00883234">
        <w:t xml:space="preserve">s based on efforts to site hazardous or solid waste landfills on tribal reservations. (see, e.g., examples discussed in Tsosie excerpt, p. 336-341, Text). You could divide the </w:t>
      </w:r>
      <w:r>
        <w:t xml:space="preserve">class into groups representing (1) </w:t>
      </w:r>
      <w:r w:rsidRPr="00883234">
        <w:t xml:space="preserve">the project proponent; </w:t>
      </w:r>
      <w:r>
        <w:t xml:space="preserve">(2) </w:t>
      </w:r>
      <w:r w:rsidRPr="00883234">
        <w:t xml:space="preserve">tribal leaders who favor the project because of its potential for economic development; </w:t>
      </w:r>
      <w:r>
        <w:t xml:space="preserve">(3) </w:t>
      </w:r>
      <w:r w:rsidRPr="00883234">
        <w:t>members of the tribe, many of whom oppose the project; and outside (non-Indian) environmental groups who oppose the project because of its environmental impacts.</w:t>
      </w:r>
    </w:p>
    <w:p w14:paraId="7440FBA7" w14:textId="77777777" w:rsidR="0070589C" w:rsidRPr="00883234" w:rsidRDefault="0070589C" w:rsidP="0070589C">
      <w:pPr>
        <w:pStyle w:val="BodyText"/>
        <w:kinsoku w:val="0"/>
        <w:overflowPunct w:val="0"/>
        <w:jc w:val="both"/>
      </w:pPr>
    </w:p>
    <w:p w14:paraId="7C033531" w14:textId="77777777" w:rsidR="0070589C" w:rsidRPr="00883234" w:rsidRDefault="0070589C" w:rsidP="0070589C">
      <w:pPr>
        <w:pStyle w:val="BodyText"/>
        <w:kinsoku w:val="0"/>
        <w:overflowPunct w:val="0"/>
        <w:ind w:left="160" w:right="536" w:firstLine="720"/>
        <w:jc w:val="both"/>
      </w:pPr>
      <w:r>
        <w:t xml:space="preserve">The case study that closes Chapter 6 (Environmental Permits) provides a good introduction to the Atlantic Coast Pipeline controversy.  Apart from the Fourth Circuit’s decision excerpted in Chapter 6, the U.S. Supreme Court issued a ruling on June 15, 2020, concerning a different matter involving this same pipeline.  The excerpt below provides some brief context and analysis: </w:t>
      </w:r>
    </w:p>
    <w:p w14:paraId="221C9F00" w14:textId="77777777" w:rsidR="0070589C" w:rsidRPr="00883234" w:rsidRDefault="0070589C" w:rsidP="0070589C">
      <w:pPr>
        <w:pStyle w:val="NormalWeb"/>
        <w:spacing w:before="300" w:beforeAutospacing="0" w:after="300" w:afterAutospacing="0"/>
        <w:ind w:left="900" w:right="1000"/>
        <w:jc w:val="both"/>
        <w:rPr>
          <w:spacing w:val="-1"/>
        </w:rPr>
      </w:pPr>
      <w:r w:rsidRPr="00883234">
        <w:rPr>
          <w:spacing w:val="-1"/>
        </w:rPr>
        <w:t>In late 2018, the Fourth Circuit Court </w:t>
      </w:r>
      <w:hyperlink r:id="rId36" w:tgtFrame="_blank" w:history="1">
        <w:r w:rsidRPr="00883234">
          <w:rPr>
            <w:rStyle w:val="Hyperlink"/>
            <w:rFonts w:eastAsiaTheme="minorEastAsia"/>
            <w:spacing w:val="-1"/>
          </w:rPr>
          <w:t>found</w:t>
        </w:r>
      </w:hyperlink>
      <w:r w:rsidRPr="00883234">
        <w:rPr>
          <w:spacing w:val="-1"/>
        </w:rPr>
        <w:t> that the Forest Service had broken federal law by approving the pipeline’s route through National Park Service lands in the George Washington National Forest—the latest route has the pipeline crossing the Appalachian Trail </w:t>
      </w:r>
      <w:hyperlink r:id="rId37" w:tgtFrame="_blank" w:history="1">
        <w:r w:rsidRPr="00883234">
          <w:rPr>
            <w:rStyle w:val="Hyperlink"/>
            <w:rFonts w:eastAsiaTheme="minorEastAsia"/>
            <w:spacing w:val="-1"/>
          </w:rPr>
          <w:t>34 times</w:t>
        </w:r>
      </w:hyperlink>
      <w:r w:rsidRPr="00883234">
        <w:rPr>
          <w:spacing w:val="-1"/>
        </w:rPr>
        <w:t>. Monday, the Supreme Court </w:t>
      </w:r>
      <w:hyperlink r:id="rId38" w:tgtFrame="_blank" w:history="1">
        <w:r w:rsidRPr="00883234">
          <w:rPr>
            <w:rStyle w:val="Hyperlink"/>
            <w:rFonts w:eastAsiaTheme="minorEastAsia"/>
            <w:spacing w:val="-1"/>
          </w:rPr>
          <w:t>overturned</w:t>
        </w:r>
      </w:hyperlink>
      <w:r w:rsidRPr="00883234">
        <w:rPr>
          <w:spacing w:val="-1"/>
        </w:rPr>
        <w:t> that with its own 7–2 ruling; Justice Clarence Thomas authored the opinion in </w:t>
      </w:r>
      <w:r w:rsidRPr="00883234">
        <w:rPr>
          <w:i/>
          <w:iCs/>
          <w:spacing w:val="-1"/>
        </w:rPr>
        <w:t>United States Forest Service vs.</w:t>
      </w:r>
      <w:r w:rsidRPr="00883234">
        <w:rPr>
          <w:spacing w:val="-1"/>
        </w:rPr>
        <w:t> </w:t>
      </w:r>
      <w:r w:rsidRPr="00883234">
        <w:rPr>
          <w:i/>
          <w:iCs/>
          <w:spacing w:val="-1"/>
        </w:rPr>
        <w:t>Cowpasture River Association,</w:t>
      </w:r>
      <w:r w:rsidRPr="00883234">
        <w:rPr>
          <w:spacing w:val="-1"/>
        </w:rPr>
        <w:t> with only Justices Sonya Sotomayor and Elena Kagan dissenting. Without diving too deep into the weeds, the court’s reasoning was that the Mineral Leasing Act allows the Forest Service to issue permits on pipelines that cross through national forest land.</w:t>
      </w:r>
    </w:p>
    <w:p w14:paraId="3F0C82C4" w14:textId="77777777" w:rsidR="0070589C" w:rsidRDefault="0070589C" w:rsidP="0070589C">
      <w:pPr>
        <w:pStyle w:val="NormalWeb"/>
        <w:spacing w:before="300" w:beforeAutospacing="0" w:after="300" w:afterAutospacing="0"/>
        <w:ind w:left="900" w:right="1000"/>
        <w:jc w:val="both"/>
        <w:rPr>
          <w:spacing w:val="-1"/>
        </w:rPr>
      </w:pPr>
      <w:r w:rsidRPr="00883234">
        <w:rPr>
          <w:spacing w:val="-1"/>
        </w:rPr>
        <w:lastRenderedPageBreak/>
        <w:t>As North Carolina State associate professor and Lumbee Tribe member Dr. Ryan Emanuel pointed out on social media </w:t>
      </w:r>
      <w:hyperlink r:id="rId39" w:tgtFrame="_blank" w:history="1">
        <w:r w:rsidRPr="00883234">
          <w:rPr>
            <w:rStyle w:val="Hyperlink"/>
            <w:rFonts w:eastAsiaTheme="minorEastAsia"/>
            <w:spacing w:val="-1"/>
          </w:rPr>
          <w:t>three weeks ago</w:t>
        </w:r>
      </w:hyperlink>
      <w:r w:rsidRPr="00883234">
        <w:rPr>
          <w:spacing w:val="-1"/>
        </w:rPr>
        <w:t>, the Supreme Court’s ruling is not a total victory for Dominion Energy and its partners in the ACP venture. The high court’s ruling will now trigger a case in the D.C. Circuit Court. That case looks at the “</w:t>
      </w:r>
      <w:hyperlink r:id="rId40" w:tgtFrame="_blank" w:history="1">
        <w:r w:rsidRPr="00883234">
          <w:rPr>
            <w:rStyle w:val="Hyperlink"/>
            <w:rFonts w:eastAsiaTheme="minorEastAsia"/>
            <w:spacing w:val="-1"/>
          </w:rPr>
          <w:t>Kafkaesque</w:t>
        </w:r>
      </w:hyperlink>
      <w:r w:rsidRPr="00883234">
        <w:rPr>
          <w:spacing w:val="-1"/>
        </w:rPr>
        <w:t>” process, in one judge’s words, by which federal permits are obtained by energy companies. There’s also the matter of getting approval for the pipeline to cross Blue Mountain Parkway, and approval for construction of </w:t>
      </w:r>
      <w:hyperlink r:id="rId41" w:tgtFrame="_blank" w:history="1">
        <w:r w:rsidRPr="00883234">
          <w:rPr>
            <w:rStyle w:val="Hyperlink"/>
            <w:rFonts w:eastAsiaTheme="minorEastAsia"/>
            <w:spacing w:val="-1"/>
          </w:rPr>
          <w:t>the compressor station</w:t>
        </w:r>
      </w:hyperlink>
      <w:r w:rsidRPr="00883234">
        <w:rPr>
          <w:spacing w:val="-1"/>
        </w:rPr>
        <w:t> in Union Hill, whose environmental justice review was sharply condemned by the Fourth Circuit Court in January. The project has also been countered by </w:t>
      </w:r>
      <w:hyperlink r:id="rId42" w:tgtFrame="_blank" w:history="1">
        <w:r w:rsidRPr="00883234">
          <w:rPr>
            <w:rStyle w:val="Hyperlink"/>
            <w:rFonts w:eastAsiaTheme="minorEastAsia"/>
            <w:spacing w:val="-1"/>
          </w:rPr>
          <w:t>HB 167</w:t>
        </w:r>
      </w:hyperlink>
      <w:r w:rsidRPr="00883234">
        <w:rPr>
          <w:spacing w:val="-1"/>
        </w:rPr>
        <w:t>, a Virginia state law passed in April that is designed to prevent energy companies from forcing customers to pay for unnecessary gas pipelines. This legislation is particularly interesting in light of recent reports that the region in Virginia that the ACP is planned for already boasts </w:t>
      </w:r>
      <w:hyperlink r:id="rId43" w:tgtFrame="_blank" w:history="1">
        <w:r w:rsidRPr="00883234">
          <w:rPr>
            <w:rStyle w:val="Hyperlink"/>
            <w:rFonts w:eastAsiaTheme="minorEastAsia"/>
            <w:spacing w:val="-1"/>
          </w:rPr>
          <w:t>a 35 percent energy surplus</w:t>
        </w:r>
      </w:hyperlink>
      <w:r w:rsidRPr="00883234">
        <w:rPr>
          <w:spacing w:val="-1"/>
        </w:rPr>
        <w:t>, one that </w:t>
      </w:r>
      <w:hyperlink r:id="rId44" w:tgtFrame="_blank" w:history="1">
        <w:r w:rsidRPr="00883234">
          <w:rPr>
            <w:rStyle w:val="Hyperlink"/>
            <w:rFonts w:eastAsiaTheme="minorEastAsia"/>
            <w:spacing w:val="-1"/>
          </w:rPr>
          <w:t>S&amp;P Global predicts</w:t>
        </w:r>
      </w:hyperlink>
      <w:r w:rsidRPr="00883234">
        <w:rPr>
          <w:spacing w:val="-1"/>
        </w:rPr>
        <w:t> will grow to 60 percent within the next seven years.</w:t>
      </w:r>
    </w:p>
    <w:p w14:paraId="5E0162C8" w14:textId="77777777" w:rsidR="0070589C" w:rsidRPr="00883234" w:rsidRDefault="0070589C" w:rsidP="0070589C">
      <w:pPr>
        <w:pStyle w:val="BodyText"/>
        <w:kinsoku w:val="0"/>
        <w:overflowPunct w:val="0"/>
        <w:ind w:left="160" w:right="536"/>
        <w:jc w:val="both"/>
      </w:pPr>
      <w:r>
        <w:t xml:space="preserve">Nick Martin, </w:t>
      </w:r>
      <w:r w:rsidRPr="008E1F7D">
        <w:rPr>
          <w:i/>
        </w:rPr>
        <w:t>The Atlantic Coast Pipeline is about People, Not Precedent</w:t>
      </w:r>
      <w:r w:rsidRPr="00883234">
        <w:t xml:space="preserve">, </w:t>
      </w:r>
      <w:r w:rsidRPr="001B47B7">
        <w:rPr>
          <w:smallCaps/>
        </w:rPr>
        <w:t>New Republic</w:t>
      </w:r>
      <w:r>
        <w:t xml:space="preserve">, </w:t>
      </w:r>
      <w:r w:rsidRPr="00883234">
        <w:t xml:space="preserve">June 15, 2020, </w:t>
      </w:r>
      <w:hyperlink r:id="rId45" w:history="1">
        <w:r w:rsidRPr="00883234">
          <w:rPr>
            <w:rStyle w:val="Hyperlink"/>
          </w:rPr>
          <w:t>https://newrepublic.com/article/158179/atlantic-coast-pipeline-battle-people-not-precedent</w:t>
        </w:r>
      </w:hyperlink>
      <w:r>
        <w:t>.</w:t>
      </w:r>
    </w:p>
    <w:p w14:paraId="76377ABB" w14:textId="77777777" w:rsidR="0070589C" w:rsidRDefault="0070589C" w:rsidP="0070589C">
      <w:pPr>
        <w:pStyle w:val="Heading1"/>
        <w:kinsoku w:val="0"/>
        <w:overflowPunct w:val="0"/>
        <w:spacing w:before="1"/>
        <w:ind w:left="0"/>
        <w:jc w:val="both"/>
        <w:rPr>
          <w:b w:val="0"/>
          <w:bCs w:val="0"/>
          <w:spacing w:val="-1"/>
        </w:rPr>
      </w:pPr>
    </w:p>
    <w:p w14:paraId="496C3D3D" w14:textId="77777777" w:rsidR="0070589C" w:rsidRPr="00054C26" w:rsidRDefault="0070589C" w:rsidP="0070589C">
      <w:pPr>
        <w:rPr>
          <w:sz w:val="24"/>
          <w:szCs w:val="24"/>
        </w:rPr>
      </w:pPr>
      <w:r w:rsidRPr="00054C26">
        <w:rPr>
          <w:sz w:val="24"/>
          <w:szCs w:val="24"/>
        </w:rPr>
        <w:t>For further related resources, see the materials below:</w:t>
      </w:r>
    </w:p>
    <w:p w14:paraId="587616D0" w14:textId="77777777" w:rsidR="0070589C" w:rsidRPr="00883234" w:rsidRDefault="0070589C" w:rsidP="0070589C">
      <w:pPr>
        <w:pStyle w:val="BodyText"/>
        <w:kinsoku w:val="0"/>
        <w:overflowPunct w:val="0"/>
        <w:spacing w:before="11"/>
        <w:jc w:val="both"/>
        <w:rPr>
          <w:b/>
          <w:bCs/>
        </w:rPr>
      </w:pPr>
    </w:p>
    <w:p w14:paraId="4556189B" w14:textId="77777777" w:rsidR="0070589C" w:rsidRPr="00FD273A" w:rsidRDefault="0070589C" w:rsidP="0070589C">
      <w:pPr>
        <w:pStyle w:val="ListParagraph"/>
        <w:numPr>
          <w:ilvl w:val="0"/>
          <w:numId w:val="25"/>
        </w:numPr>
        <w:shd w:val="clear" w:color="auto" w:fill="F9F9F9"/>
        <w:kinsoku w:val="0"/>
        <w:overflowPunct w:val="0"/>
        <w:spacing w:before="1"/>
        <w:ind w:right="540"/>
        <w:jc w:val="both"/>
        <w:rPr>
          <w:rFonts w:eastAsia="Times New Roman"/>
        </w:rPr>
      </w:pPr>
      <w:r w:rsidRPr="00CA6737">
        <w:rPr>
          <w:shd w:val="clear" w:color="auto" w:fill="F9F9F9"/>
        </w:rPr>
        <w:t xml:space="preserve">In a program by </w:t>
      </w:r>
      <w:r w:rsidRPr="00054C26">
        <w:rPr>
          <w:i/>
          <w:shd w:val="clear" w:color="auto" w:fill="F9F9F9"/>
        </w:rPr>
        <w:t>Law at the Margins</w:t>
      </w:r>
      <w:r w:rsidRPr="00CA6737">
        <w:rPr>
          <w:shd w:val="clear" w:color="auto" w:fill="F9F9F9"/>
        </w:rPr>
        <w:t>, panelists Tara Houska Kanahus Manuel, Dallas Goldtooth,</w:t>
      </w:r>
      <w:r>
        <w:rPr>
          <w:shd w:val="clear" w:color="auto" w:fill="F9F9F9"/>
        </w:rPr>
        <w:t xml:space="preserve"> </w:t>
      </w:r>
      <w:r w:rsidRPr="00CA6737">
        <w:rPr>
          <w:shd w:val="clear" w:color="auto" w:fill="F9F9F9"/>
        </w:rPr>
        <w:t xml:space="preserve">and Pennie Opal Plant discuss issues of environmental justice in North American indigenous communities, </w:t>
      </w:r>
      <w:hyperlink r:id="rId46" w:history="1">
        <w:r w:rsidRPr="00CA6737">
          <w:rPr>
            <w:rStyle w:val="Hyperlink"/>
          </w:rPr>
          <w:t>https://www.youtube.com/watch?v=NTJb86vPxzY</w:t>
        </w:r>
      </w:hyperlink>
      <w:r w:rsidRPr="00CA6737">
        <w:t>. The video runs 1 hour, 19 minutes.</w:t>
      </w:r>
    </w:p>
    <w:p w14:paraId="12FAD37E" w14:textId="77777777" w:rsidR="0070589C" w:rsidRPr="00CA6737" w:rsidRDefault="0070589C" w:rsidP="0070589C">
      <w:pPr>
        <w:pStyle w:val="ListParagraph"/>
        <w:shd w:val="clear" w:color="auto" w:fill="F9F9F9"/>
        <w:kinsoku w:val="0"/>
        <w:overflowPunct w:val="0"/>
        <w:spacing w:before="1"/>
        <w:ind w:left="720" w:right="540" w:firstLine="0"/>
        <w:jc w:val="both"/>
        <w:rPr>
          <w:rFonts w:eastAsia="Times New Roman"/>
        </w:rPr>
      </w:pPr>
    </w:p>
    <w:p w14:paraId="3B9052CE" w14:textId="77777777" w:rsidR="0070589C" w:rsidRPr="00FD273A" w:rsidRDefault="0070589C" w:rsidP="0070589C">
      <w:pPr>
        <w:pStyle w:val="ListParagraph"/>
        <w:numPr>
          <w:ilvl w:val="0"/>
          <w:numId w:val="25"/>
        </w:numPr>
        <w:shd w:val="clear" w:color="auto" w:fill="F9F9F9"/>
        <w:kinsoku w:val="0"/>
        <w:overflowPunct w:val="0"/>
        <w:spacing w:before="1"/>
        <w:ind w:right="540"/>
        <w:jc w:val="both"/>
        <w:rPr>
          <w:rFonts w:eastAsia="Times New Roman"/>
        </w:rPr>
      </w:pPr>
      <w:r w:rsidRPr="00CA6737">
        <w:t xml:space="preserve">First Nation citizen Tara Houska has a TEDx Talk, </w:t>
      </w:r>
      <w:r w:rsidRPr="00054C26">
        <w:rPr>
          <w:i/>
        </w:rPr>
        <w:t>The Standing Rock resistance and our fight for indigenous rights</w:t>
      </w:r>
      <w:r w:rsidRPr="00CA6737">
        <w:t>. The video runs 11 minutes.</w:t>
      </w:r>
    </w:p>
    <w:p w14:paraId="2AC56DFF" w14:textId="77777777" w:rsidR="0070589C" w:rsidRPr="00FD273A" w:rsidRDefault="0070589C" w:rsidP="0070589C">
      <w:pPr>
        <w:shd w:val="clear" w:color="auto" w:fill="F9F9F9"/>
        <w:kinsoku w:val="0"/>
        <w:overflowPunct w:val="0"/>
        <w:spacing w:before="1"/>
        <w:ind w:right="540"/>
        <w:jc w:val="both"/>
        <w:rPr>
          <w:rFonts w:eastAsia="Times New Roman"/>
        </w:rPr>
      </w:pPr>
    </w:p>
    <w:p w14:paraId="73199C36" w14:textId="77777777" w:rsidR="0070589C" w:rsidRPr="00883234" w:rsidRDefault="0070589C" w:rsidP="0070589C">
      <w:pPr>
        <w:pStyle w:val="ListParagraph"/>
        <w:numPr>
          <w:ilvl w:val="0"/>
          <w:numId w:val="25"/>
        </w:numPr>
        <w:kinsoku w:val="0"/>
        <w:overflowPunct w:val="0"/>
        <w:spacing w:before="59"/>
        <w:ind w:right="540"/>
        <w:jc w:val="both"/>
      </w:pPr>
      <w:r w:rsidRPr="00883234">
        <w:t>Noah Sachs and Kristin Shrader-Frechette offer contrasting vi</w:t>
      </w:r>
      <w:r>
        <w:t>ews on whether it is paternalist</w:t>
      </w:r>
      <w:r w:rsidRPr="00883234">
        <w:t>ic for environmentalists (and others) to object to the siting decisions of Native Americans, using as an illustration the Mescalero Apache Indians’ decision to site a Monitored Retrievable Storage (MRS) facility for spent nuclear fuel on their lands.</w:t>
      </w:r>
      <w:r w:rsidRPr="00FD273A">
        <w:rPr>
          <w:spacing w:val="37"/>
        </w:rPr>
        <w:t xml:space="preserve"> </w:t>
      </w:r>
      <w:r w:rsidRPr="00FD273A">
        <w:rPr>
          <w:spacing w:val="-3"/>
        </w:rPr>
        <w:t xml:space="preserve">Sachs </w:t>
      </w:r>
      <w:r w:rsidRPr="00883234">
        <w:t>argues that interference with the choices of Native Americans generally amount</w:t>
      </w:r>
      <w:r>
        <w:t>s to unjustified paternalism. Sachs</w:t>
      </w:r>
      <w:r w:rsidRPr="00883234">
        <w:t xml:space="preserve"> argues:</w:t>
      </w:r>
    </w:p>
    <w:p w14:paraId="388AB5E2" w14:textId="77777777" w:rsidR="0070589C" w:rsidRDefault="0070589C" w:rsidP="0070589C">
      <w:pPr>
        <w:pStyle w:val="BodyText"/>
        <w:kinsoku w:val="0"/>
        <w:overflowPunct w:val="0"/>
        <w:jc w:val="both"/>
      </w:pPr>
    </w:p>
    <w:p w14:paraId="3C707917" w14:textId="77777777" w:rsidR="0070589C" w:rsidRDefault="0070589C" w:rsidP="0070589C">
      <w:pPr>
        <w:pStyle w:val="BodyText"/>
        <w:kinsoku w:val="0"/>
        <w:overflowPunct w:val="0"/>
        <w:ind w:left="1440" w:right="990"/>
        <w:jc w:val="both"/>
      </w:pPr>
      <w:r w:rsidRPr="00883234">
        <w:t xml:space="preserve">[I]f a community has decided for itself that the benefits outweigh the costs of a facility, denying the community the facility on equity grounds (because it is poor or minority) undermines its opportunities to improve its own welfare. </w:t>
      </w:r>
      <w:r w:rsidRPr="00883234">
        <w:rPr>
          <w:spacing w:val="-4"/>
        </w:rPr>
        <w:t xml:space="preserve">In </w:t>
      </w:r>
      <w:r w:rsidRPr="00883234">
        <w:t xml:space="preserve">the case of the MRS, it is important to remember that the project would have brought several million dollars per year to the Tribe. </w:t>
      </w:r>
      <w:r w:rsidRPr="00883234">
        <w:rPr>
          <w:spacing w:val="-4"/>
        </w:rPr>
        <w:t xml:space="preserve">If </w:t>
      </w:r>
      <w:r w:rsidRPr="00883234">
        <w:t>the federal government blocked a non-nuclear economic development project of that magnitude on an Indian reservation, it would rightly be criticized. There is</w:t>
      </w:r>
      <w:r w:rsidRPr="00883234">
        <w:rPr>
          <w:spacing w:val="-28"/>
        </w:rPr>
        <w:t xml:space="preserve"> </w:t>
      </w:r>
      <w:r w:rsidRPr="00883234">
        <w:rPr>
          <w:spacing w:val="-7"/>
        </w:rPr>
        <w:t xml:space="preserve">an </w:t>
      </w:r>
      <w:r w:rsidRPr="00883234">
        <w:t xml:space="preserve">element of paternalism in some </w:t>
      </w:r>
      <w:r w:rsidRPr="00883234">
        <w:lastRenderedPageBreak/>
        <w:t xml:space="preserve">environmental justice arguments that offends the ethical principle that individuals and communities, rich or poor, should be free to consider and pursue </w:t>
      </w:r>
      <w:r>
        <w:t>economic options on their own.</w:t>
      </w:r>
    </w:p>
    <w:p w14:paraId="41E246F7" w14:textId="77777777" w:rsidR="0070589C" w:rsidRDefault="0070589C" w:rsidP="0070589C">
      <w:pPr>
        <w:pStyle w:val="BodyText"/>
        <w:kinsoku w:val="0"/>
        <w:overflowPunct w:val="0"/>
        <w:ind w:right="990"/>
        <w:jc w:val="both"/>
      </w:pPr>
    </w:p>
    <w:p w14:paraId="20C942E1" w14:textId="77777777" w:rsidR="0070589C" w:rsidRPr="00883234" w:rsidRDefault="0070589C" w:rsidP="0070589C">
      <w:pPr>
        <w:pStyle w:val="BodyText"/>
        <w:kinsoku w:val="0"/>
        <w:overflowPunct w:val="0"/>
        <w:ind w:right="540"/>
        <w:jc w:val="both"/>
      </w:pPr>
      <w:r w:rsidRPr="00883234">
        <w:t xml:space="preserve">Noah Sachs, </w:t>
      </w:r>
      <w:r w:rsidRPr="00883234">
        <w:rPr>
          <w:i/>
          <w:iCs/>
        </w:rPr>
        <w:t xml:space="preserve">The Mescalero Apache Indians and Monitored Retrievable Storage of Spent Nuclear Fuel: A Case Study in Environmental Ethics, </w:t>
      </w:r>
      <w:r w:rsidRPr="00883234">
        <w:t>36</w:t>
      </w:r>
      <w:r>
        <w:t xml:space="preserve"> </w:t>
      </w:r>
      <w:r>
        <w:rPr>
          <w:smallCaps/>
        </w:rPr>
        <w:t>Nat.</w:t>
      </w:r>
      <w:r w:rsidRPr="001B47B7">
        <w:rPr>
          <w:smallCaps/>
        </w:rPr>
        <w:t xml:space="preserve"> Res</w:t>
      </w:r>
      <w:r>
        <w:rPr>
          <w:smallCaps/>
        </w:rPr>
        <w:t>ources</w:t>
      </w:r>
      <w:r>
        <w:t xml:space="preserve"> J. </w:t>
      </w:r>
      <w:r w:rsidRPr="00883234">
        <w:t>881, 895-896</w:t>
      </w:r>
      <w:r w:rsidRPr="00883234">
        <w:rPr>
          <w:spacing w:val="-32"/>
        </w:rPr>
        <w:t xml:space="preserve"> </w:t>
      </w:r>
      <w:r w:rsidRPr="00883234">
        <w:t>(1996).</w:t>
      </w:r>
    </w:p>
    <w:p w14:paraId="641780B6" w14:textId="77777777" w:rsidR="0070589C" w:rsidRPr="00883234" w:rsidRDefault="0070589C" w:rsidP="0070589C">
      <w:pPr>
        <w:pStyle w:val="BodyText"/>
        <w:kinsoku w:val="0"/>
        <w:overflowPunct w:val="0"/>
        <w:ind w:firstLine="720"/>
        <w:jc w:val="both"/>
      </w:pPr>
    </w:p>
    <w:p w14:paraId="74B1B130" w14:textId="77777777" w:rsidR="0070589C" w:rsidRPr="005B6598" w:rsidRDefault="0070589C" w:rsidP="0070589C">
      <w:pPr>
        <w:pStyle w:val="BodyText"/>
        <w:ind w:right="540" w:firstLine="512"/>
        <w:jc w:val="both"/>
      </w:pPr>
      <w:r w:rsidRPr="005B6598">
        <w:t xml:space="preserve">Professor Shrader-Frechette argues that paternalism is justified, among other reasons, to prevent exploitation of vulnerable communities (for example, those whose poverty or lack of education gives them less bargaining power, less equal opportunity and less equal treatment in any societal transaction), where there has been a lack of free and informed consent by individuals exposed to harmful activities, or where </w:t>
      </w:r>
      <w:r>
        <w:t xml:space="preserve">it is </w:t>
      </w:r>
      <w:r w:rsidRPr="005B6598">
        <w:t xml:space="preserve">necessary to protect innocent third parties (including future generations) from harmful activities. If these conditions are met (and in her view they are met in the Mescalero Apache Indian controversy), then paternalistic intervention is justified to achieve environmental justice for Native Americans. </w:t>
      </w:r>
      <w:r w:rsidRPr="00121832">
        <w:rPr>
          <w:smallCaps/>
        </w:rPr>
        <w:t>Kristen Shrader-Frechette: Environmental Justice: Creating Equality, Reclaiming Democracy</w:t>
      </w:r>
      <w:r w:rsidRPr="005B6598">
        <w:t>, 117-132 (2002).</w:t>
      </w:r>
    </w:p>
    <w:p w14:paraId="5FE76DEE" w14:textId="77777777" w:rsidR="0070589C" w:rsidRPr="00054C26" w:rsidRDefault="0070589C" w:rsidP="0070589C">
      <w:pPr>
        <w:widowControl/>
        <w:autoSpaceDE/>
        <w:autoSpaceDN/>
        <w:adjustRightInd/>
        <w:jc w:val="both"/>
        <w:rPr>
          <w:bCs/>
        </w:rPr>
      </w:pPr>
    </w:p>
    <w:p w14:paraId="4C712817" w14:textId="77777777" w:rsidR="0070589C" w:rsidRDefault="0070589C" w:rsidP="0070589C">
      <w:pPr>
        <w:pStyle w:val="ListParagraph"/>
        <w:widowControl/>
        <w:numPr>
          <w:ilvl w:val="0"/>
          <w:numId w:val="24"/>
        </w:numPr>
        <w:autoSpaceDE/>
        <w:autoSpaceDN/>
        <w:adjustRightInd/>
        <w:jc w:val="both"/>
        <w:rPr>
          <w:b/>
          <w:bCs/>
        </w:rPr>
      </w:pPr>
      <w:r>
        <w:rPr>
          <w:b/>
          <w:bCs/>
        </w:rPr>
        <w:t>Tribes as Environmental Regulators</w:t>
      </w:r>
    </w:p>
    <w:p w14:paraId="2C1BD206" w14:textId="77777777" w:rsidR="0070589C" w:rsidRDefault="0070589C" w:rsidP="0070589C">
      <w:pPr>
        <w:widowControl/>
        <w:autoSpaceDE/>
        <w:autoSpaceDN/>
        <w:adjustRightInd/>
        <w:jc w:val="both"/>
        <w:rPr>
          <w:b/>
          <w:bCs/>
        </w:rPr>
      </w:pPr>
    </w:p>
    <w:p w14:paraId="4254F796" w14:textId="77777777" w:rsidR="0070589C" w:rsidRDefault="0070589C" w:rsidP="0070589C">
      <w:pPr>
        <w:pStyle w:val="BodyText"/>
        <w:ind w:right="540" w:firstLine="512"/>
        <w:jc w:val="both"/>
        <w:rPr>
          <w:shd w:val="clear" w:color="auto" w:fill="F9F9F9"/>
        </w:rPr>
      </w:pPr>
      <w:r>
        <w:rPr>
          <w:shd w:val="clear" w:color="auto" w:fill="F9F9F9"/>
        </w:rPr>
        <w:t>This section discusses cooperative federalism, where the federal government sets national standards for other governments (primarily states) to implement. Tribal authority for environmental regulation is derived from the inherent powers of tribes to govern themselves and from Congress, which established authority under the “treatment in the same manner as a state” (TAS). Students can discuss issues related to capacity building for environmental programs as well as question the capacity to work toward achieving environmental justice.</w:t>
      </w:r>
    </w:p>
    <w:p w14:paraId="50AB134D" w14:textId="77777777" w:rsidR="0070589C" w:rsidRDefault="0070589C" w:rsidP="0070589C">
      <w:pPr>
        <w:pStyle w:val="BodyText"/>
        <w:ind w:firstLine="512"/>
        <w:jc w:val="both"/>
        <w:rPr>
          <w:shd w:val="clear" w:color="auto" w:fill="F9F9F9"/>
        </w:rPr>
      </w:pPr>
    </w:p>
    <w:p w14:paraId="4E105AB2" w14:textId="77777777" w:rsidR="0070589C" w:rsidRDefault="0070589C" w:rsidP="0070589C">
      <w:pPr>
        <w:pStyle w:val="BodyText"/>
        <w:ind w:right="540" w:firstLine="512"/>
        <w:jc w:val="both"/>
      </w:pPr>
      <w:r>
        <w:rPr>
          <w:shd w:val="clear" w:color="auto" w:fill="F9F9F9"/>
        </w:rPr>
        <w:t>For months, the International Indigenous Youth Council helped steer the Standing Rock Sioux Tribe’s opposition to the Dakota Access Pipeline.</w:t>
      </w:r>
      <w:r w:rsidRPr="00920308">
        <w:t xml:space="preserve"> </w:t>
      </w:r>
      <w:r w:rsidRPr="00192407">
        <w:rPr>
          <w:i/>
          <w:iCs/>
        </w:rPr>
        <w:t>The Seventh Generation: Youth at the Heart of the Standing Rock Protests</w:t>
      </w:r>
      <w:r>
        <w:t xml:space="preserve">, </w:t>
      </w:r>
      <w:r w:rsidRPr="00192407">
        <w:rPr>
          <w:smallCaps/>
        </w:rPr>
        <w:t>ABC News</w:t>
      </w:r>
      <w:r w:rsidRPr="00920308">
        <w:t>,</w:t>
      </w:r>
      <w:r>
        <w:t xml:space="preserve"> </w:t>
      </w:r>
      <w:hyperlink r:id="rId47" w:history="1">
        <w:r w:rsidRPr="000D3A17">
          <w:rPr>
            <w:rStyle w:val="Hyperlink"/>
          </w:rPr>
          <w:t>https://www.youtube.com/watch?v=1Rz_TkpysKk</w:t>
        </w:r>
      </w:hyperlink>
      <w:r>
        <w:t>. The video runs 48 minutes long.</w:t>
      </w:r>
    </w:p>
    <w:p w14:paraId="647443D1" w14:textId="77777777" w:rsidR="0070589C" w:rsidRDefault="0070589C" w:rsidP="0070589C">
      <w:pPr>
        <w:pStyle w:val="BodyText"/>
        <w:jc w:val="both"/>
      </w:pPr>
    </w:p>
    <w:p w14:paraId="5B5A8B01" w14:textId="77777777" w:rsidR="0070589C" w:rsidRDefault="0070589C" w:rsidP="0070589C">
      <w:pPr>
        <w:pStyle w:val="BodyText"/>
        <w:jc w:val="center"/>
        <w:rPr>
          <w:b/>
          <w:bCs/>
          <w:i/>
          <w:iCs/>
          <w:sz w:val="28"/>
          <w:szCs w:val="28"/>
        </w:rPr>
      </w:pPr>
      <w:r w:rsidRPr="00192407">
        <w:rPr>
          <w:b/>
          <w:bCs/>
          <w:i/>
          <w:iCs/>
          <w:sz w:val="28"/>
          <w:szCs w:val="28"/>
        </w:rPr>
        <w:t>Notes and Questions</w:t>
      </w:r>
    </w:p>
    <w:p w14:paraId="3B939CA6" w14:textId="77777777" w:rsidR="0070589C" w:rsidRDefault="0070589C" w:rsidP="0070589C">
      <w:pPr>
        <w:pStyle w:val="BodyText"/>
        <w:jc w:val="center"/>
        <w:rPr>
          <w:b/>
          <w:bCs/>
          <w:i/>
          <w:iCs/>
          <w:sz w:val="28"/>
          <w:szCs w:val="28"/>
        </w:rPr>
      </w:pPr>
    </w:p>
    <w:p w14:paraId="28ED6CBD" w14:textId="77777777" w:rsidR="0070589C" w:rsidRPr="00192407" w:rsidRDefault="0070589C" w:rsidP="0070589C">
      <w:pPr>
        <w:pStyle w:val="BodyText"/>
        <w:ind w:right="540" w:firstLine="720"/>
        <w:jc w:val="both"/>
        <w:rPr>
          <w:b/>
          <w:bCs/>
          <w:i/>
          <w:iCs/>
          <w:sz w:val="28"/>
          <w:szCs w:val="28"/>
        </w:rPr>
      </w:pPr>
      <w:r w:rsidRPr="00192407">
        <w:rPr>
          <w:b/>
          <w:bCs/>
        </w:rPr>
        <w:t xml:space="preserve">1. The </w:t>
      </w:r>
      <w:r>
        <w:rPr>
          <w:b/>
          <w:bCs/>
        </w:rPr>
        <w:t>“</w:t>
      </w:r>
      <w:r w:rsidRPr="00192407">
        <w:rPr>
          <w:b/>
          <w:bCs/>
        </w:rPr>
        <w:t>paradox.</w:t>
      </w:r>
      <w:r>
        <w:rPr>
          <w:b/>
          <w:bCs/>
        </w:rPr>
        <w:t>”</w:t>
      </w:r>
      <w:r>
        <w:t xml:space="preserve"> </w:t>
      </w:r>
      <w:r w:rsidRPr="00883234">
        <w:t xml:space="preserve">Tribes have far fewer resources to create a regulatory </w:t>
      </w:r>
      <w:r>
        <w:t>infrastructure and implem</w:t>
      </w:r>
      <w:r w:rsidRPr="00883234">
        <w:t>en</w:t>
      </w:r>
      <w:r>
        <w:t xml:space="preserve">t </w:t>
      </w:r>
      <w:r w:rsidRPr="00883234">
        <w:t>regulations. There have been efforts by the EPA to create the capacity within</w:t>
      </w:r>
      <w:r w:rsidRPr="00192407">
        <w:rPr>
          <w:spacing w:val="-31"/>
        </w:rPr>
        <w:t xml:space="preserve"> </w:t>
      </w:r>
      <w:r w:rsidRPr="00192407">
        <w:rPr>
          <w:spacing w:val="-3"/>
        </w:rPr>
        <w:t xml:space="preserve">tribal </w:t>
      </w:r>
      <w:r w:rsidRPr="00883234">
        <w:t>governments to assume authority over federal regulatory</w:t>
      </w:r>
      <w:r w:rsidRPr="00192407">
        <w:rPr>
          <w:spacing w:val="-21"/>
        </w:rPr>
        <w:t xml:space="preserve"> </w:t>
      </w:r>
      <w:r w:rsidRPr="00883234">
        <w:t>programs.</w:t>
      </w:r>
      <w:r>
        <w:t xml:space="preserve"> However, to qualify for federal funding and quality for TAS status, some scholars have suggested that tribes must conform (i.e., surrender) their inherent tribal authority and sovereignty.  The excerpt by Professor Wolfley (an expert on Indian law and a tribal attorney and member herself) counters these objections and attempts to allay those fears.  At the same time, Prof. Wolfley attempts to address concerns that tribal sovereignty could be used to ignore traditional concerns for environmental justice, including both substantive and procedural dimensions.  Instructors may wish to map out on a whiteboard or other graphic </w:t>
      </w:r>
      <w:r>
        <w:lastRenderedPageBreak/>
        <w:t xml:space="preserve">display how Prof. Wolfley carefully navigates these potentially conflicting perspectives and interests, seeking input from students along the way.  </w:t>
      </w:r>
    </w:p>
    <w:p w14:paraId="37715FBC" w14:textId="77777777" w:rsidR="0070589C" w:rsidRDefault="0070589C" w:rsidP="0070589C">
      <w:pPr>
        <w:pStyle w:val="BodyText"/>
      </w:pPr>
    </w:p>
    <w:p w14:paraId="1372774E" w14:textId="77777777" w:rsidR="0070589C" w:rsidRPr="00FF1021" w:rsidRDefault="0070589C" w:rsidP="0070589C">
      <w:pPr>
        <w:pStyle w:val="BodyText"/>
        <w:ind w:right="540" w:firstLine="720"/>
        <w:jc w:val="both"/>
      </w:pPr>
      <w:r w:rsidRPr="002E4BD5">
        <w:rPr>
          <w:b/>
          <w:bCs/>
        </w:rPr>
        <w:t xml:space="preserve">2. </w:t>
      </w:r>
      <w:r>
        <w:rPr>
          <w:b/>
          <w:bCs/>
        </w:rPr>
        <w:t>Defining EJ principle</w:t>
      </w:r>
      <w:r w:rsidRPr="002E4BD5">
        <w:rPr>
          <w:b/>
          <w:bCs/>
        </w:rPr>
        <w:t>s for tribes.</w:t>
      </w:r>
      <w:r>
        <w:t xml:space="preserve"> Consider the shortcomings in existing tribal environmental law and note the tenets of environmental justice. </w:t>
      </w:r>
      <w:r w:rsidRPr="00883234">
        <w:t xml:space="preserve">You could use this as a starting point for a discussion of reparations for Indians; the general topic has important currency right now because of a renewed effort in recent </w:t>
      </w:r>
      <w:r w:rsidRPr="00192407">
        <w:rPr>
          <w:spacing w:val="-3"/>
        </w:rPr>
        <w:t xml:space="preserve">years </w:t>
      </w:r>
      <w:r w:rsidRPr="00883234">
        <w:t xml:space="preserve">to obtain reparations for </w:t>
      </w:r>
      <w:r>
        <w:t xml:space="preserve">Black </w:t>
      </w:r>
      <w:r w:rsidRPr="00883234">
        <w:t>Americans. Should there be environmental reparations for Native peoples? Do reparations of this nature differ from other reparation claims by groups that</w:t>
      </w:r>
      <w:r w:rsidRPr="00192407">
        <w:rPr>
          <w:spacing w:val="-23"/>
        </w:rPr>
        <w:t xml:space="preserve"> </w:t>
      </w:r>
      <w:r w:rsidRPr="00192407">
        <w:rPr>
          <w:spacing w:val="-7"/>
        </w:rPr>
        <w:t xml:space="preserve">are </w:t>
      </w:r>
      <w:r w:rsidRPr="00883234">
        <w:t>not sovereign</w:t>
      </w:r>
      <w:r w:rsidRPr="00192407">
        <w:rPr>
          <w:spacing w:val="1"/>
        </w:rPr>
        <w:t xml:space="preserve"> </w:t>
      </w:r>
      <w:r w:rsidRPr="00883234">
        <w:t>entities?</w:t>
      </w:r>
      <w:r>
        <w:t xml:space="preserve"> </w:t>
      </w:r>
      <w:r w:rsidRPr="00192407">
        <w:rPr>
          <w:spacing w:val="-3"/>
        </w:rPr>
        <w:t xml:space="preserve">If </w:t>
      </w:r>
      <w:r w:rsidRPr="00883234">
        <w:t xml:space="preserve">so, what form should reparations take? Possibilities include restoration of tribal </w:t>
      </w:r>
      <w:r w:rsidRPr="00192407">
        <w:rPr>
          <w:spacing w:val="-4"/>
        </w:rPr>
        <w:t xml:space="preserve">owned </w:t>
      </w:r>
      <w:r w:rsidRPr="00883234">
        <w:t>lands, funds to tribal governments for restoration projects, non-degraded lands as compensation (perhaps from federal</w:t>
      </w:r>
      <w:r w:rsidRPr="00192407">
        <w:rPr>
          <w:spacing w:val="-1"/>
        </w:rPr>
        <w:t xml:space="preserve"> </w:t>
      </w:r>
      <w:r w:rsidRPr="00883234">
        <w:t>landholdings).</w:t>
      </w:r>
      <w:r>
        <w:t xml:space="preserve"> </w:t>
      </w:r>
      <w:r w:rsidRPr="00883234">
        <w:t xml:space="preserve">Should reparations be provided to all Native peoples or just </w:t>
      </w:r>
      <w:r w:rsidRPr="00FF1021">
        <w:t>federally recognized</w:t>
      </w:r>
      <w:r w:rsidRPr="00FF1021">
        <w:rPr>
          <w:spacing w:val="-22"/>
        </w:rPr>
        <w:t xml:space="preserve"> </w:t>
      </w:r>
      <w:r w:rsidRPr="00FF1021">
        <w:t>tribes?</w:t>
      </w:r>
    </w:p>
    <w:p w14:paraId="2957B42B" w14:textId="77777777" w:rsidR="0070589C" w:rsidRPr="00FF1021" w:rsidRDefault="0070589C" w:rsidP="0070589C">
      <w:pPr>
        <w:tabs>
          <w:tab w:val="left" w:pos="720"/>
        </w:tabs>
        <w:kinsoku w:val="0"/>
        <w:overflowPunct w:val="0"/>
        <w:spacing w:before="170"/>
        <w:ind w:right="540"/>
        <w:jc w:val="both"/>
        <w:rPr>
          <w:sz w:val="24"/>
          <w:szCs w:val="24"/>
        </w:rPr>
      </w:pPr>
      <w:r w:rsidRPr="00FF1021">
        <w:rPr>
          <w:b/>
          <w:bCs/>
          <w:sz w:val="24"/>
          <w:szCs w:val="24"/>
        </w:rPr>
        <w:tab/>
      </w:r>
      <w:r>
        <w:rPr>
          <w:b/>
          <w:bCs/>
          <w:sz w:val="24"/>
          <w:szCs w:val="24"/>
        </w:rPr>
        <w:t xml:space="preserve">3. </w:t>
      </w:r>
      <w:r w:rsidRPr="00FF1021">
        <w:rPr>
          <w:b/>
          <w:bCs/>
          <w:sz w:val="24"/>
          <w:szCs w:val="24"/>
        </w:rPr>
        <w:t>TAS Today.</w:t>
      </w:r>
      <w:r w:rsidRPr="00FF1021">
        <w:rPr>
          <w:sz w:val="24"/>
          <w:szCs w:val="24"/>
        </w:rPr>
        <w:t xml:space="preserve">  Largely rejecting </w:t>
      </w:r>
      <w:r>
        <w:rPr>
          <w:sz w:val="24"/>
          <w:szCs w:val="24"/>
        </w:rPr>
        <w:t xml:space="preserve">earlier concerns from some scholars, most tribes today appear to eagerly seek and embrace federal authorization to carry out their own environmental programs under statutes such as the Clean Water Act and Clean Air Act.  </w:t>
      </w:r>
      <w:r w:rsidRPr="00FF1021">
        <w:rPr>
          <w:sz w:val="24"/>
          <w:szCs w:val="24"/>
        </w:rPr>
        <w:t xml:space="preserve"> </w:t>
      </w:r>
      <w:r>
        <w:rPr>
          <w:sz w:val="24"/>
          <w:szCs w:val="24"/>
        </w:rPr>
        <w:t>Today, while the process for obtaining TAS status may still be onerous, many tribes may be assisted by law schools with clinical programs in Indian law or environmental law.</w:t>
      </w:r>
    </w:p>
    <w:p w14:paraId="24A79E61" w14:textId="77777777" w:rsidR="0070589C" w:rsidRDefault="0070589C" w:rsidP="0070589C">
      <w:pPr>
        <w:tabs>
          <w:tab w:val="left" w:pos="720"/>
        </w:tabs>
        <w:kinsoku w:val="0"/>
        <w:overflowPunct w:val="0"/>
        <w:spacing w:before="170"/>
        <w:ind w:right="540"/>
        <w:jc w:val="both"/>
      </w:pPr>
      <w:r w:rsidRPr="00FF1021">
        <w:rPr>
          <w:sz w:val="24"/>
          <w:szCs w:val="24"/>
        </w:rPr>
        <w:tab/>
      </w:r>
      <w:r w:rsidRPr="00FF1021">
        <w:rPr>
          <w:b/>
          <w:bCs/>
          <w:sz w:val="24"/>
          <w:szCs w:val="24"/>
        </w:rPr>
        <w:t>4. Open dumps.</w:t>
      </w:r>
      <w:r w:rsidRPr="00FF1021">
        <w:rPr>
          <w:sz w:val="24"/>
          <w:szCs w:val="24"/>
        </w:rPr>
        <w:t xml:space="preserve"> </w:t>
      </w:r>
      <w:bookmarkStart w:id="26" w:name="Page_230"/>
      <w:bookmarkEnd w:id="26"/>
      <w:r>
        <w:rPr>
          <w:sz w:val="24"/>
          <w:szCs w:val="24"/>
        </w:rPr>
        <w:t>This note recognizes a major and continuing problem on many Indian reservations, where the rural nature of the landscape combined with relative poverty may encourage illegal dumping and failures by federal authorities to respond.  As indicated in this note, and explored more thoroughly in Chapter 8 (EJ and Contaminated Sites), there is certainly legal authority for federal authorities to clean up almost any form of waste.  Junk cars often contain lead batteries, used antifreeze, and mercury switches – all CERCLA hazardous substances.  Household trash, used motor oil, and human waste may be addressed as solid waste under RCRA.  The problem is rarely a lack of legal authority or even a lack of funding within the federal agencies; rather, it is more likely a lack of knowledge, caring, or creativity by agencies who could respond, but don’t.</w:t>
      </w:r>
    </w:p>
    <w:p w14:paraId="4D73B106" w14:textId="77777777" w:rsidR="0070589C" w:rsidRDefault="0070589C" w:rsidP="0070589C">
      <w:pPr>
        <w:tabs>
          <w:tab w:val="left" w:pos="720"/>
        </w:tabs>
        <w:kinsoku w:val="0"/>
        <w:overflowPunct w:val="0"/>
        <w:spacing w:before="170"/>
        <w:ind w:right="540"/>
        <w:jc w:val="both"/>
        <w:rPr>
          <w:sz w:val="24"/>
          <w:szCs w:val="24"/>
        </w:rPr>
      </w:pPr>
      <w:r>
        <w:tab/>
      </w:r>
      <w:r>
        <w:rPr>
          <w:b/>
          <w:bCs/>
          <w:sz w:val="24"/>
          <w:szCs w:val="24"/>
        </w:rPr>
        <w:t>5. EJ and i</w:t>
      </w:r>
      <w:r w:rsidRPr="002E4BD5">
        <w:rPr>
          <w:b/>
          <w:bCs/>
          <w:sz w:val="24"/>
          <w:szCs w:val="24"/>
        </w:rPr>
        <w:t>ndigenous peoples.</w:t>
      </w:r>
      <w:r w:rsidRPr="002E4BD5">
        <w:rPr>
          <w:sz w:val="24"/>
          <w:szCs w:val="24"/>
        </w:rPr>
        <w:t xml:space="preserve"> The underlying rationales for environmental regulation – </w:t>
      </w:r>
      <w:r>
        <w:rPr>
          <w:sz w:val="24"/>
          <w:szCs w:val="24"/>
        </w:rPr>
        <w:t xml:space="preserve">by </w:t>
      </w:r>
      <w:r w:rsidRPr="002E4BD5">
        <w:rPr>
          <w:sz w:val="24"/>
          <w:szCs w:val="24"/>
        </w:rPr>
        <w:t xml:space="preserve">those </w:t>
      </w:r>
      <w:r>
        <w:rPr>
          <w:sz w:val="24"/>
          <w:szCs w:val="24"/>
        </w:rPr>
        <w:t>who</w:t>
      </w:r>
      <w:r w:rsidRPr="002E4BD5">
        <w:rPr>
          <w:sz w:val="24"/>
          <w:szCs w:val="24"/>
        </w:rPr>
        <w:t xml:space="preserve"> have colonized</w:t>
      </w:r>
      <w:r w:rsidRPr="002E4BD5">
        <w:rPr>
          <w:spacing w:val="-3"/>
          <w:sz w:val="24"/>
          <w:szCs w:val="24"/>
        </w:rPr>
        <w:t xml:space="preserve"> </w:t>
      </w:r>
      <w:r w:rsidRPr="002E4BD5">
        <w:rPr>
          <w:sz w:val="24"/>
          <w:szCs w:val="24"/>
        </w:rPr>
        <w:t>environmental</w:t>
      </w:r>
      <w:r w:rsidRPr="002E4BD5">
        <w:rPr>
          <w:spacing w:val="-3"/>
          <w:sz w:val="24"/>
          <w:szCs w:val="24"/>
        </w:rPr>
        <w:t xml:space="preserve"> </w:t>
      </w:r>
      <w:r w:rsidRPr="002E4BD5">
        <w:rPr>
          <w:sz w:val="24"/>
          <w:szCs w:val="24"/>
        </w:rPr>
        <w:t>law</w:t>
      </w:r>
      <w:r w:rsidRPr="002E4BD5">
        <w:rPr>
          <w:spacing w:val="-3"/>
          <w:sz w:val="24"/>
          <w:szCs w:val="24"/>
        </w:rPr>
        <w:t xml:space="preserve"> </w:t>
      </w:r>
      <w:r w:rsidRPr="002E4BD5">
        <w:rPr>
          <w:sz w:val="24"/>
          <w:szCs w:val="24"/>
        </w:rPr>
        <w:t>–</w:t>
      </w:r>
      <w:r w:rsidRPr="002E4BD5">
        <w:rPr>
          <w:spacing w:val="-5"/>
          <w:sz w:val="24"/>
          <w:szCs w:val="24"/>
        </w:rPr>
        <w:t xml:space="preserve"> </w:t>
      </w:r>
      <w:r w:rsidRPr="002E4BD5">
        <w:rPr>
          <w:sz w:val="24"/>
          <w:szCs w:val="24"/>
        </w:rPr>
        <w:t>are based on science,</w:t>
      </w:r>
      <w:r w:rsidRPr="002E4BD5">
        <w:rPr>
          <w:spacing w:val="-3"/>
          <w:sz w:val="24"/>
          <w:szCs w:val="24"/>
        </w:rPr>
        <w:t xml:space="preserve"> </w:t>
      </w:r>
      <w:r w:rsidRPr="002E4BD5">
        <w:rPr>
          <w:sz w:val="24"/>
          <w:szCs w:val="24"/>
        </w:rPr>
        <w:t>economic</w:t>
      </w:r>
      <w:r w:rsidRPr="002E4BD5">
        <w:rPr>
          <w:spacing w:val="-4"/>
          <w:sz w:val="24"/>
          <w:szCs w:val="24"/>
        </w:rPr>
        <w:t xml:space="preserve"> </w:t>
      </w:r>
      <w:r w:rsidRPr="002E4BD5">
        <w:rPr>
          <w:sz w:val="24"/>
          <w:szCs w:val="24"/>
        </w:rPr>
        <w:t>analysis,</w:t>
      </w:r>
      <w:r w:rsidRPr="002E4BD5">
        <w:rPr>
          <w:spacing w:val="-3"/>
          <w:sz w:val="24"/>
          <w:szCs w:val="24"/>
        </w:rPr>
        <w:t xml:space="preserve"> and </w:t>
      </w:r>
      <w:r w:rsidRPr="002E4BD5">
        <w:rPr>
          <w:sz w:val="24"/>
          <w:szCs w:val="24"/>
        </w:rPr>
        <w:t>aesthetic concerns. These rationales do not see biodiversity or ecosystem health as being tied to the physical, emotional, and spiritual health of humans. Thus, when tribes argue that there is something unique, even sacred, about protecting traditional lands because the health of these lands is inextricably linked with the health of the larger community, this point of view is seen as exotic or</w:t>
      </w:r>
      <w:r w:rsidRPr="002E4BD5">
        <w:rPr>
          <w:spacing w:val="-6"/>
          <w:sz w:val="24"/>
          <w:szCs w:val="24"/>
        </w:rPr>
        <w:t xml:space="preserve"> </w:t>
      </w:r>
      <w:r w:rsidRPr="002E4BD5">
        <w:rPr>
          <w:sz w:val="24"/>
          <w:szCs w:val="24"/>
        </w:rPr>
        <w:t>mythical.</w:t>
      </w:r>
      <w:r>
        <w:rPr>
          <w:sz w:val="24"/>
          <w:szCs w:val="24"/>
        </w:rPr>
        <w:t xml:space="preserve">  </w:t>
      </w:r>
    </w:p>
    <w:p w14:paraId="6A5B1F73" w14:textId="77777777" w:rsidR="0070589C" w:rsidRDefault="0070589C" w:rsidP="0070589C">
      <w:pPr>
        <w:tabs>
          <w:tab w:val="left" w:pos="720"/>
        </w:tabs>
        <w:kinsoku w:val="0"/>
        <w:overflowPunct w:val="0"/>
        <w:spacing w:before="170"/>
        <w:ind w:right="540"/>
        <w:jc w:val="both"/>
      </w:pPr>
      <w:r>
        <w:rPr>
          <w:sz w:val="24"/>
          <w:szCs w:val="24"/>
        </w:rPr>
        <w:tab/>
        <w:t xml:space="preserve">On the other hand, tribal leaders, acting with or against the interest of tribal members, may fail to provide the environmental protection for “all people” (including tribal members) that environmental justice demands.  As indicated in this note, EPA and the NEJAC (with participation by tribal members, and after considerable debate), ultimately decided that environmental justice demanded environmental protection for individual tribal members, even in the absence of support from the relevant tribal government.  Hence the title of the new EPA policy:  “Working with Federally Recognized Tribes </w:t>
      </w:r>
      <w:r w:rsidRPr="00F80DBC">
        <w:rPr>
          <w:i/>
          <w:sz w:val="24"/>
          <w:szCs w:val="24"/>
        </w:rPr>
        <w:t>and Indigenous Peoples</w:t>
      </w:r>
      <w:r>
        <w:rPr>
          <w:sz w:val="24"/>
          <w:szCs w:val="24"/>
        </w:rPr>
        <w:t xml:space="preserve">” (emphasis added).  Instructors should ask students whether or not they agree with this policy choice.  Students may argue that it is consistent with EPA’s EJ principles and the overall </w:t>
      </w:r>
      <w:r>
        <w:rPr>
          <w:sz w:val="24"/>
          <w:szCs w:val="24"/>
        </w:rPr>
        <w:lastRenderedPageBreak/>
        <w:t xml:space="preserve">agency mission to protect human health and the environment.  A counter-argument may be that EPA should have no jurisdiction on tribal lands to enforce federal law over the objection of the tribal government.  By analogy, EPA would have no authority to enforce the Clean Air Act in Mexico City, even if the air pollution affects Americans who live in Mexico City.    Other arguments on either side may certainly inspire some interesting class discussion.  </w:t>
      </w:r>
    </w:p>
    <w:p w14:paraId="44D26AAD" w14:textId="77777777" w:rsidR="0070589C" w:rsidRDefault="0070589C" w:rsidP="0070589C">
      <w:pPr>
        <w:tabs>
          <w:tab w:val="left" w:pos="720"/>
        </w:tabs>
        <w:kinsoku w:val="0"/>
        <w:overflowPunct w:val="0"/>
        <w:spacing w:before="170"/>
        <w:ind w:right="540"/>
        <w:jc w:val="both"/>
        <w:rPr>
          <w:sz w:val="24"/>
          <w:szCs w:val="24"/>
        </w:rPr>
      </w:pPr>
      <w:r>
        <w:tab/>
      </w:r>
      <w:r w:rsidRPr="000935BA">
        <w:rPr>
          <w:b/>
          <w:bCs/>
          <w:sz w:val="24"/>
          <w:szCs w:val="24"/>
        </w:rPr>
        <w:t>6. Hypothetical: the Kickapee Dump Site.</w:t>
      </w:r>
      <w:r w:rsidRPr="000935BA">
        <w:rPr>
          <w:sz w:val="24"/>
          <w:szCs w:val="24"/>
        </w:rPr>
        <w:t xml:space="preserve"> This </w:t>
      </w:r>
      <w:r>
        <w:rPr>
          <w:sz w:val="24"/>
          <w:szCs w:val="24"/>
        </w:rPr>
        <w:t>scenario is unfortunately very real and may help students comprehend and apply many of the principles discussed in this chapter.  In this scenario, EPA has clear legal authority to clean up the illegal dump and prevent any further injuries on this reservation.  EPA also has the technical resources to conduct this work quickly, before anyone else is injured.  As a federal agency, the EPA may also have a federal trust responsibility to conduct this work.  But in order to begin this work, does the EPA need a request from the tribal government?  Does the EPA need the tribe’s approval for how the work should be carried out?  Even if it means waiting a month for the next meeting of the tribal council and risking further injuries to local children?  How should EPA respond to a potential conflict of interest, if the suspected dumper is related to a tribal leader (not uncommon in small communities)?</w:t>
      </w:r>
    </w:p>
    <w:p w14:paraId="575337E7" w14:textId="77777777" w:rsidR="0070589C" w:rsidRPr="00883234" w:rsidRDefault="0070589C" w:rsidP="0070589C">
      <w:pPr>
        <w:tabs>
          <w:tab w:val="left" w:pos="720"/>
        </w:tabs>
        <w:kinsoku w:val="0"/>
        <w:overflowPunct w:val="0"/>
        <w:spacing w:before="170"/>
        <w:ind w:right="540"/>
        <w:jc w:val="both"/>
      </w:pPr>
      <w:r>
        <w:rPr>
          <w:sz w:val="24"/>
          <w:szCs w:val="24"/>
        </w:rPr>
        <w:tab/>
        <w:t xml:space="preserve">One possible step for the EPA attorney in this case would be to check for any existing contingency plans that might address an emergency situation such as this.  Such plans may (and </w:t>
      </w:r>
      <w:r w:rsidRPr="00A03138">
        <w:rPr>
          <w:i/>
          <w:sz w:val="24"/>
          <w:szCs w:val="24"/>
        </w:rPr>
        <w:t>should</w:t>
      </w:r>
      <w:r>
        <w:rPr>
          <w:sz w:val="24"/>
          <w:szCs w:val="24"/>
        </w:rPr>
        <w:t>) be developed cooperatively and proactively with states and tribes, identifying emergency contacts and procedures in advance of actual need.  In the absence of any such plans, the EPA attorney may recommend emergency government-to-government consultation, such as a phone call from the EPA Regional Administrator to the Tribal Governor.  Under EPA policy, EPA may reserve the right to respond to an emergency without tribal approval, but cooperative decision-making and response is almost always preferred.</w:t>
      </w:r>
    </w:p>
    <w:p w14:paraId="2E947694" w14:textId="77777777" w:rsidR="0070589C" w:rsidRPr="00883234" w:rsidRDefault="0070589C" w:rsidP="0070589C">
      <w:pPr>
        <w:pStyle w:val="BodyText"/>
        <w:kinsoku w:val="0"/>
        <w:overflowPunct w:val="0"/>
        <w:jc w:val="both"/>
      </w:pPr>
    </w:p>
    <w:p w14:paraId="1095E78E" w14:textId="77777777" w:rsidR="0070589C" w:rsidRDefault="0070589C" w:rsidP="0070589C">
      <w:pPr>
        <w:pStyle w:val="BodyText"/>
        <w:kinsoku w:val="0"/>
        <w:overflowPunct w:val="0"/>
        <w:spacing w:before="10"/>
        <w:jc w:val="both"/>
      </w:pPr>
    </w:p>
    <w:p w14:paraId="61E0F99E" w14:textId="77777777" w:rsidR="0070589C" w:rsidRDefault="0070589C" w:rsidP="0070589C">
      <w:pPr>
        <w:widowControl/>
        <w:autoSpaceDE/>
        <w:autoSpaceDN/>
        <w:adjustRightInd/>
        <w:spacing w:after="160" w:line="259" w:lineRule="auto"/>
        <w:rPr>
          <w:sz w:val="24"/>
          <w:szCs w:val="24"/>
        </w:rPr>
      </w:pPr>
      <w:r>
        <w:br w:type="page"/>
      </w:r>
    </w:p>
    <w:p w14:paraId="0ED503BC" w14:textId="77777777" w:rsidR="0070589C" w:rsidRPr="00C73007" w:rsidRDefault="0070589C" w:rsidP="0070589C">
      <w:pPr>
        <w:pStyle w:val="BodyText"/>
        <w:rPr>
          <w:b/>
          <w:bCs/>
          <w:sz w:val="32"/>
          <w:szCs w:val="32"/>
        </w:rPr>
      </w:pPr>
      <w:r w:rsidRPr="00C73007">
        <w:rPr>
          <w:b/>
          <w:bCs/>
          <w:sz w:val="32"/>
          <w:szCs w:val="32"/>
        </w:rPr>
        <w:lastRenderedPageBreak/>
        <w:t xml:space="preserve">Chapter </w:t>
      </w:r>
      <w:r>
        <w:rPr>
          <w:b/>
          <w:bCs/>
          <w:sz w:val="32"/>
          <w:szCs w:val="32"/>
        </w:rPr>
        <w:t>10</w:t>
      </w:r>
    </w:p>
    <w:p w14:paraId="1CFCF4E7" w14:textId="77777777" w:rsidR="0070589C" w:rsidRPr="00C73007" w:rsidRDefault="0070589C" w:rsidP="0070589C">
      <w:pPr>
        <w:pStyle w:val="BodyText"/>
        <w:rPr>
          <w:b/>
          <w:sz w:val="32"/>
          <w:szCs w:val="32"/>
        </w:rPr>
      </w:pPr>
    </w:p>
    <w:p w14:paraId="2F4BFED6" w14:textId="77777777" w:rsidR="0070589C" w:rsidRPr="00C73007" w:rsidRDefault="0070589C" w:rsidP="0070589C">
      <w:pPr>
        <w:pStyle w:val="BodyText"/>
        <w:rPr>
          <w:b/>
          <w:sz w:val="32"/>
          <w:szCs w:val="32"/>
        </w:rPr>
      </w:pPr>
      <w:r>
        <w:rPr>
          <w:b/>
          <w:sz w:val="32"/>
          <w:szCs w:val="32"/>
        </w:rPr>
        <w:t>Governmental Initiatives to Promote Environmental Justice</w:t>
      </w:r>
    </w:p>
    <w:p w14:paraId="117C2512" w14:textId="77777777" w:rsidR="0070589C" w:rsidRDefault="0070589C" w:rsidP="0070589C">
      <w:pPr>
        <w:pStyle w:val="BodyText"/>
        <w:tabs>
          <w:tab w:val="left" w:pos="3013"/>
        </w:tabs>
      </w:pPr>
    </w:p>
    <w:p w14:paraId="62A6E865" w14:textId="77777777" w:rsidR="0070589C" w:rsidRPr="0051665B" w:rsidRDefault="0070589C" w:rsidP="0070589C">
      <w:pPr>
        <w:pStyle w:val="BodyText"/>
        <w:ind w:firstLine="720"/>
        <w:rPr>
          <w:b/>
        </w:rPr>
      </w:pPr>
      <w:r w:rsidRPr="0051665B">
        <w:rPr>
          <w:b/>
        </w:rPr>
        <w:t>A.  Introduction</w:t>
      </w:r>
    </w:p>
    <w:p w14:paraId="382E681F" w14:textId="77777777" w:rsidR="0070589C" w:rsidRDefault="0070589C" w:rsidP="0070589C">
      <w:pPr>
        <w:pStyle w:val="BodyText"/>
      </w:pPr>
      <w:r>
        <w:tab/>
      </w:r>
    </w:p>
    <w:p w14:paraId="675D49A5" w14:textId="77777777" w:rsidR="0070589C" w:rsidRPr="00553CEC" w:rsidRDefault="0070589C" w:rsidP="0070589C">
      <w:pPr>
        <w:pStyle w:val="BodyText"/>
        <w:ind w:right="540" w:firstLine="720"/>
        <w:jc w:val="both"/>
      </w:pPr>
      <w:r>
        <w:t>This chapter examines how environmental justice issues have been addressed at different levels of governance, including international, federal, state and tribal.  The chapter also includes a focus on initiatives developed in California and New York.  To introduce students to the themes in this chapter, and prior to diving into various examples of particular government programs, one</w:t>
      </w:r>
      <w:r w:rsidRPr="004938FE">
        <w:rPr>
          <w:bCs/>
        </w:rPr>
        <w:t xml:space="preserve"> possible role</w:t>
      </w:r>
      <w:r>
        <w:rPr>
          <w:bCs/>
        </w:rPr>
        <w:t>-</w:t>
      </w:r>
      <w:r w:rsidRPr="004938FE">
        <w:rPr>
          <w:bCs/>
        </w:rPr>
        <w:t>play is to ask your students to develop their own model state or federal environmental justice policy</w:t>
      </w:r>
      <w:r>
        <w:rPr>
          <w:bCs/>
        </w:rPr>
        <w:t xml:space="preserve"> or mission statement</w:t>
      </w:r>
      <w:r w:rsidRPr="004938FE">
        <w:rPr>
          <w:bCs/>
        </w:rPr>
        <w:t xml:space="preserve">. </w:t>
      </w:r>
      <w:r>
        <w:rPr>
          <w:bCs/>
        </w:rPr>
        <w:t xml:space="preserve"> </w:t>
      </w:r>
      <w:r>
        <w:t xml:space="preserve">As an example, students could use the California State Lands Commission Environmental Justice Policy, available here: </w:t>
      </w:r>
      <w:hyperlink r:id="rId48" w:history="1">
        <w:r w:rsidRPr="00270B87">
          <w:rPr>
            <w:rStyle w:val="Hyperlink"/>
          </w:rPr>
          <w:t>https://www.slc.ca.gov/envirojustice/</w:t>
        </w:r>
      </w:hyperlink>
      <w:r>
        <w:t xml:space="preserve">.  Students could also consider the procedure to develop the policy and aspects included in policies to further implementation.  The California State Lands Commission policy, for instance, includes an introduction and specific goals, versus a plain statement available on the agency’s website.  In addition, the policy was created in collaboration with eight community-based organizations that work with environmental justice communities throughout California.  Students could also compare this ambitious policy with the history, developments, and where applicable, legal barriers that inform initiatives developed by federal, state and tribal bodies detailed in the chapter.   </w:t>
      </w:r>
    </w:p>
    <w:p w14:paraId="00DF3DB9" w14:textId="77777777" w:rsidR="0070589C" w:rsidRDefault="0070589C" w:rsidP="0070589C">
      <w:pPr>
        <w:pStyle w:val="BodyText"/>
        <w:rPr>
          <w:bCs/>
        </w:rPr>
      </w:pPr>
    </w:p>
    <w:p w14:paraId="0F4FA293" w14:textId="77777777" w:rsidR="0070589C" w:rsidRPr="00DE3C48" w:rsidRDefault="0070589C" w:rsidP="0070589C">
      <w:pPr>
        <w:pStyle w:val="BodyText"/>
        <w:ind w:firstLine="720"/>
        <w:rPr>
          <w:b/>
          <w:sz w:val="28"/>
          <w:szCs w:val="28"/>
        </w:rPr>
      </w:pPr>
      <w:r w:rsidRPr="0051665B">
        <w:rPr>
          <w:b/>
        </w:rPr>
        <w:t>B.  Environmental Justice at the International Level</w:t>
      </w:r>
    </w:p>
    <w:p w14:paraId="7D1C9600" w14:textId="77777777" w:rsidR="0070589C" w:rsidRDefault="0070589C" w:rsidP="0070589C">
      <w:pPr>
        <w:pStyle w:val="BodyText"/>
        <w:rPr>
          <w:bCs/>
        </w:rPr>
      </w:pPr>
    </w:p>
    <w:p w14:paraId="4CB376F9" w14:textId="77777777" w:rsidR="0070589C" w:rsidRPr="002E507E" w:rsidRDefault="0070589C" w:rsidP="0070589C">
      <w:pPr>
        <w:widowControl/>
        <w:autoSpaceDE/>
        <w:autoSpaceDN/>
        <w:adjustRightInd/>
        <w:ind w:right="540" w:firstLine="720"/>
        <w:jc w:val="both"/>
        <w:rPr>
          <w:rStyle w:val="HTMLCite"/>
          <w:i w:val="0"/>
          <w:iCs w:val="0"/>
          <w:color w:val="3C4043"/>
          <w:sz w:val="24"/>
          <w:szCs w:val="24"/>
          <w:u w:val="single"/>
          <w:shd w:val="clear" w:color="auto" w:fill="FFFFFF"/>
        </w:rPr>
      </w:pPr>
      <w:r w:rsidRPr="002E507E">
        <w:rPr>
          <w:bCs/>
          <w:sz w:val="24"/>
          <w:szCs w:val="24"/>
        </w:rPr>
        <w:t xml:space="preserve">In 2019, David Boyd, the UN Special Rapporteur for Human Rights and the Environment submitted a </w:t>
      </w:r>
      <w:r>
        <w:rPr>
          <w:bCs/>
          <w:sz w:val="24"/>
          <w:szCs w:val="24"/>
        </w:rPr>
        <w:t>R</w:t>
      </w:r>
      <w:r w:rsidRPr="002E507E">
        <w:rPr>
          <w:bCs/>
          <w:sz w:val="24"/>
          <w:szCs w:val="24"/>
        </w:rPr>
        <w:t xml:space="preserve">eport </w:t>
      </w:r>
      <w:r>
        <w:rPr>
          <w:bCs/>
          <w:sz w:val="24"/>
          <w:szCs w:val="24"/>
        </w:rPr>
        <w:t xml:space="preserve">to the Human Rights Council </w:t>
      </w:r>
      <w:r w:rsidRPr="002E507E">
        <w:rPr>
          <w:bCs/>
          <w:sz w:val="24"/>
          <w:szCs w:val="24"/>
        </w:rPr>
        <w:t xml:space="preserve">on </w:t>
      </w:r>
      <w:r>
        <w:rPr>
          <w:bCs/>
          <w:sz w:val="24"/>
          <w:szCs w:val="24"/>
        </w:rPr>
        <w:t>T</w:t>
      </w:r>
      <w:r w:rsidRPr="002E507E">
        <w:rPr>
          <w:bCs/>
          <w:sz w:val="24"/>
          <w:szCs w:val="24"/>
        </w:rPr>
        <w:t xml:space="preserve">he </w:t>
      </w:r>
      <w:r>
        <w:rPr>
          <w:bCs/>
          <w:sz w:val="24"/>
          <w:szCs w:val="24"/>
        </w:rPr>
        <w:t>R</w:t>
      </w:r>
      <w:r w:rsidRPr="002E507E">
        <w:rPr>
          <w:bCs/>
          <w:sz w:val="24"/>
          <w:szCs w:val="24"/>
        </w:rPr>
        <w:t xml:space="preserve">ight to </w:t>
      </w:r>
      <w:r>
        <w:rPr>
          <w:bCs/>
          <w:sz w:val="24"/>
          <w:szCs w:val="24"/>
        </w:rPr>
        <w:t>B</w:t>
      </w:r>
      <w:r w:rsidRPr="002E507E">
        <w:rPr>
          <w:bCs/>
          <w:sz w:val="24"/>
          <w:szCs w:val="24"/>
        </w:rPr>
        <w:t xml:space="preserve">reathe </w:t>
      </w:r>
      <w:r>
        <w:rPr>
          <w:bCs/>
          <w:sz w:val="24"/>
          <w:szCs w:val="24"/>
        </w:rPr>
        <w:t>C</w:t>
      </w:r>
      <w:r w:rsidRPr="002E507E">
        <w:rPr>
          <w:bCs/>
          <w:sz w:val="24"/>
          <w:szCs w:val="24"/>
        </w:rPr>
        <w:t xml:space="preserve">lean </w:t>
      </w:r>
      <w:r>
        <w:rPr>
          <w:bCs/>
          <w:sz w:val="24"/>
          <w:szCs w:val="24"/>
        </w:rPr>
        <w:t>A</w:t>
      </w:r>
      <w:r w:rsidRPr="002E507E">
        <w:rPr>
          <w:bCs/>
          <w:sz w:val="24"/>
          <w:szCs w:val="24"/>
        </w:rPr>
        <w:t xml:space="preserve">ir. www.srenvironment.org › report › the-right-to-breathe-clean-air-2019. </w:t>
      </w:r>
      <w:r w:rsidRPr="002E507E">
        <w:rPr>
          <w:rStyle w:val="HTMLCite"/>
          <w:i w:val="0"/>
          <w:iCs w:val="0"/>
          <w:color w:val="3C4043"/>
          <w:sz w:val="24"/>
          <w:szCs w:val="24"/>
          <w:u w:val="single"/>
          <w:shd w:val="clear" w:color="auto" w:fill="FFFFFF"/>
        </w:rPr>
        <w:fldChar w:fldCharType="begin"/>
      </w:r>
      <w:r w:rsidRPr="002E507E">
        <w:rPr>
          <w:rStyle w:val="HTMLCite"/>
          <w:i w:val="0"/>
          <w:iCs w:val="0"/>
          <w:color w:val="3C4043"/>
          <w:sz w:val="24"/>
          <w:szCs w:val="24"/>
          <w:u w:val="single"/>
          <w:shd w:val="clear" w:color="auto" w:fill="FFFFFF"/>
        </w:rPr>
        <w:instrText xml:space="preserve"> HYPERLINK "http://www.srenvironment.org › report › the-right-to-breathe-clean-air-2019</w:instrText>
      </w:r>
    </w:p>
    <w:p w14:paraId="1BE7FF28" w14:textId="77777777" w:rsidR="0070589C" w:rsidRDefault="0070589C" w:rsidP="0070589C">
      <w:pPr>
        <w:widowControl/>
        <w:autoSpaceDE/>
        <w:autoSpaceDN/>
        <w:adjustRightInd/>
        <w:jc w:val="both"/>
        <w:rPr>
          <w:bCs/>
          <w:sz w:val="24"/>
          <w:szCs w:val="24"/>
        </w:rPr>
      </w:pPr>
      <w:r w:rsidRPr="002E507E">
        <w:rPr>
          <w:rStyle w:val="HTMLCite"/>
          <w:i w:val="0"/>
          <w:iCs w:val="0"/>
          <w:color w:val="3C4043"/>
          <w:sz w:val="24"/>
          <w:szCs w:val="24"/>
          <w:u w:val="single"/>
          <w:shd w:val="clear" w:color="auto" w:fill="FFFFFF"/>
        </w:rPr>
        <w:instrText xml:space="preserve">" </w:instrText>
      </w:r>
      <w:r w:rsidRPr="002E507E">
        <w:rPr>
          <w:rStyle w:val="HTMLCite"/>
          <w:i w:val="0"/>
          <w:iCs w:val="0"/>
          <w:color w:val="3C4043"/>
          <w:sz w:val="24"/>
          <w:szCs w:val="24"/>
          <w:u w:val="single"/>
          <w:shd w:val="clear" w:color="auto" w:fill="FFFFFF"/>
        </w:rPr>
      </w:r>
      <w:r w:rsidRPr="002E507E">
        <w:rPr>
          <w:rStyle w:val="HTMLCite"/>
          <w:i w:val="0"/>
          <w:iCs w:val="0"/>
          <w:color w:val="3C4043"/>
          <w:sz w:val="24"/>
          <w:szCs w:val="24"/>
          <w:u w:val="single"/>
          <w:shd w:val="clear" w:color="auto" w:fill="FFFFFF"/>
        </w:rPr>
        <w:fldChar w:fldCharType="end"/>
      </w:r>
      <w:r w:rsidRPr="002E507E">
        <w:rPr>
          <w:bCs/>
          <w:sz w:val="24"/>
          <w:szCs w:val="24"/>
        </w:rPr>
        <w:t xml:space="preserve">This rights-based approach stands in stark contrast to the Sections 108 and 109 of the Clean Air Act, which set standards for emissions that “may be reasonably anticipated to endanger public health or welfare.” Under the Clean Air Act, pollution is the default—allowed unless it endangers the public. In the human rights approach, breathing is the default, pollution is allowed only if it does not jeopardize the right to breathe clean air. </w:t>
      </w:r>
      <w:r>
        <w:rPr>
          <w:bCs/>
          <w:sz w:val="24"/>
          <w:szCs w:val="24"/>
        </w:rPr>
        <w:t xml:space="preserve"> Asking students how regulation would be different in the United States if there was a right to breath clean air can spark a vibrant discussion about how to protect the most vulnerable, and the relationship between economic prosperity and social justice. As an in-class exercise, students can debate a proposed UN General Assembly resolution recognizing the Right to Breathe Clean Air. Students can be assigned to represent various countries—if students represent the United States, the EU, China, India, Brazil, Mali, Nigeria, Tuvalu, and Peru, most perspectives will be heard. Some students may espouse a Kuznet curve theory—that industrial development for economic prosperity is a necessary precondition for environmental protections. This opens up a good opportunity to explore the role of cost-benefit analysis (Discussed in Chapter 3) in environmental decision-making and allows the class to dissect how different populations bear the costs and receive the benefits of most economic activity. </w:t>
      </w:r>
    </w:p>
    <w:p w14:paraId="2E346D0F" w14:textId="77777777" w:rsidR="0070589C" w:rsidRDefault="0070589C" w:rsidP="0070589C">
      <w:pPr>
        <w:widowControl/>
        <w:autoSpaceDE/>
        <w:autoSpaceDN/>
        <w:adjustRightInd/>
        <w:jc w:val="both"/>
        <w:rPr>
          <w:bCs/>
          <w:sz w:val="24"/>
          <w:szCs w:val="24"/>
        </w:rPr>
      </w:pPr>
      <w:r>
        <w:rPr>
          <w:bCs/>
          <w:sz w:val="24"/>
          <w:szCs w:val="24"/>
        </w:rPr>
        <w:tab/>
      </w:r>
    </w:p>
    <w:p w14:paraId="2C48B5E3" w14:textId="77777777" w:rsidR="0070589C" w:rsidRPr="0020732E" w:rsidRDefault="0070589C" w:rsidP="0070589C">
      <w:pPr>
        <w:widowControl/>
        <w:autoSpaceDE/>
        <w:autoSpaceDN/>
        <w:adjustRightInd/>
        <w:ind w:right="540" w:firstLine="720"/>
        <w:jc w:val="both"/>
        <w:rPr>
          <w:bCs/>
          <w:sz w:val="24"/>
          <w:szCs w:val="24"/>
        </w:rPr>
      </w:pPr>
      <w:r>
        <w:rPr>
          <w:bCs/>
          <w:sz w:val="24"/>
          <w:szCs w:val="24"/>
        </w:rPr>
        <w:lastRenderedPageBreak/>
        <w:t xml:space="preserve">The IPCC 1.5 Report brings these issues of who benefits and who bears the burden to the climate change context.  Chapter 16 discusses this report in detail, and offers suggestions for how to incorporate it into class. </w:t>
      </w:r>
    </w:p>
    <w:p w14:paraId="7C768C58" w14:textId="77777777" w:rsidR="0070589C" w:rsidRDefault="0070589C" w:rsidP="0070589C">
      <w:pPr>
        <w:pStyle w:val="BodyText"/>
        <w:rPr>
          <w:bCs/>
        </w:rPr>
      </w:pPr>
    </w:p>
    <w:p w14:paraId="6AF305BA" w14:textId="77777777" w:rsidR="0070589C" w:rsidRPr="0051665B" w:rsidRDefault="0070589C" w:rsidP="0070589C">
      <w:pPr>
        <w:pStyle w:val="BodyText"/>
        <w:ind w:firstLine="720"/>
        <w:rPr>
          <w:b/>
        </w:rPr>
      </w:pPr>
      <w:r w:rsidRPr="0051665B">
        <w:rPr>
          <w:b/>
        </w:rPr>
        <w:t>C.  Federal Initiatives</w:t>
      </w:r>
    </w:p>
    <w:p w14:paraId="082F90DB" w14:textId="77777777" w:rsidR="0070589C" w:rsidRDefault="0070589C" w:rsidP="0070589C">
      <w:pPr>
        <w:pStyle w:val="BodyText"/>
        <w:rPr>
          <w:bCs/>
        </w:rPr>
      </w:pPr>
    </w:p>
    <w:p w14:paraId="23D4E4C5" w14:textId="77777777" w:rsidR="0070589C" w:rsidRPr="00074728" w:rsidRDefault="0070589C" w:rsidP="0070589C">
      <w:pPr>
        <w:pStyle w:val="BodyText"/>
        <w:rPr>
          <w:b/>
        </w:rPr>
      </w:pPr>
      <w:r w:rsidRPr="00074728">
        <w:rPr>
          <w:b/>
        </w:rPr>
        <w:t>1.  The Executive Order on Environmental Justice</w:t>
      </w:r>
    </w:p>
    <w:p w14:paraId="395930C9" w14:textId="77777777" w:rsidR="0070589C" w:rsidRDefault="0070589C" w:rsidP="0070589C">
      <w:pPr>
        <w:pStyle w:val="BodyText"/>
        <w:rPr>
          <w:bCs/>
        </w:rPr>
      </w:pPr>
    </w:p>
    <w:p w14:paraId="2DB152FB" w14:textId="77777777" w:rsidR="0070589C" w:rsidRPr="00BF4138" w:rsidRDefault="0070589C" w:rsidP="0070589C">
      <w:pPr>
        <w:pStyle w:val="BodyText"/>
        <w:jc w:val="center"/>
        <w:rPr>
          <w:b/>
          <w:i/>
          <w:iCs/>
          <w:sz w:val="28"/>
          <w:szCs w:val="28"/>
        </w:rPr>
      </w:pPr>
      <w:r w:rsidRPr="00BF4138">
        <w:rPr>
          <w:b/>
          <w:i/>
          <w:iCs/>
          <w:sz w:val="28"/>
          <w:szCs w:val="28"/>
        </w:rPr>
        <w:t>Notes and Questions</w:t>
      </w:r>
    </w:p>
    <w:p w14:paraId="06C9375C" w14:textId="77777777" w:rsidR="0070589C" w:rsidRPr="00BF4138" w:rsidRDefault="0070589C" w:rsidP="0070589C">
      <w:pPr>
        <w:pStyle w:val="BodyText"/>
        <w:rPr>
          <w:bCs/>
        </w:rPr>
      </w:pPr>
    </w:p>
    <w:p w14:paraId="705D8588" w14:textId="77777777" w:rsidR="0070589C" w:rsidRPr="004938FE" w:rsidRDefault="0070589C" w:rsidP="0070589C">
      <w:pPr>
        <w:pStyle w:val="BodyText"/>
        <w:ind w:right="540" w:firstLine="720"/>
        <w:jc w:val="both"/>
        <w:rPr>
          <w:bCs/>
        </w:rPr>
      </w:pPr>
      <w:r w:rsidRPr="00BF4138">
        <w:rPr>
          <w:b/>
        </w:rPr>
        <w:t>1.  Enforceability.</w:t>
      </w:r>
      <w:r>
        <w:rPr>
          <w:b/>
        </w:rPr>
        <w:t xml:space="preserve">  </w:t>
      </w:r>
      <w:r>
        <w:rPr>
          <w:bCs/>
        </w:rPr>
        <w:t>This note welcomes the students’ discussion of the value of court or agency precedent.  EO 12898 has certainly created “new rights enforceable at law or equity,” despite its express limitations.  I</w:t>
      </w:r>
      <w:r w:rsidRPr="004938FE">
        <w:rPr>
          <w:bCs/>
        </w:rPr>
        <w:t xml:space="preserve">t is noteworthy that the Environmental Appeals Board has taken the position that although the Executive Order on Environmental Justice does not give rise to any independent right of action, the permitting officials should exercise discretion in a manner that promotes the policies expressed in the Order. </w:t>
      </w:r>
      <w:r>
        <w:rPr>
          <w:bCs/>
        </w:rPr>
        <w:t xml:space="preserve"> </w:t>
      </w:r>
      <w:r w:rsidRPr="004938FE">
        <w:rPr>
          <w:bCs/>
        </w:rPr>
        <w:t xml:space="preserve">This is discussed in more detail in Chapter </w:t>
      </w:r>
      <w:r>
        <w:rPr>
          <w:bCs/>
        </w:rPr>
        <w:t>6</w:t>
      </w:r>
      <w:r w:rsidRPr="004938FE">
        <w:rPr>
          <w:bCs/>
        </w:rPr>
        <w:t>.</w:t>
      </w:r>
      <w:r>
        <w:rPr>
          <w:bCs/>
        </w:rPr>
        <w:t xml:space="preserve">  </w:t>
      </w:r>
      <w:r w:rsidRPr="004938FE">
        <w:rPr>
          <w:bCs/>
        </w:rPr>
        <w:t>You might want to ask your students how they would implement this order if they were a high level official within the EPA, Department of Interior, etc.</w:t>
      </w:r>
      <w:r>
        <w:rPr>
          <w:bCs/>
        </w:rPr>
        <w:t xml:space="preserve"> </w:t>
      </w:r>
      <w:r w:rsidRPr="004938FE">
        <w:rPr>
          <w:bCs/>
        </w:rPr>
        <w:t xml:space="preserve"> Would their implementation differ depending upon </w:t>
      </w:r>
      <w:r>
        <w:rPr>
          <w:bCs/>
        </w:rPr>
        <w:t xml:space="preserve">the administration? </w:t>
      </w:r>
      <w:r w:rsidRPr="004938FE">
        <w:rPr>
          <w:bCs/>
        </w:rPr>
        <w:t xml:space="preserve"> Would it make a difference if there were any measurement, reporting, or other accountability provisions in the order?</w:t>
      </w:r>
    </w:p>
    <w:p w14:paraId="4ED8ACB0" w14:textId="77777777" w:rsidR="0070589C" w:rsidRPr="004938FE" w:rsidRDefault="0070589C" w:rsidP="0070589C">
      <w:pPr>
        <w:pStyle w:val="BodyText"/>
        <w:jc w:val="both"/>
        <w:rPr>
          <w:bCs/>
        </w:rPr>
      </w:pPr>
    </w:p>
    <w:p w14:paraId="6965C68F" w14:textId="77777777" w:rsidR="0070589C" w:rsidRPr="00B31231" w:rsidRDefault="0070589C" w:rsidP="0070589C">
      <w:pPr>
        <w:pStyle w:val="BodyText"/>
        <w:ind w:right="540"/>
        <w:jc w:val="both"/>
        <w:rPr>
          <w:b/>
        </w:rPr>
      </w:pPr>
      <w:r>
        <w:rPr>
          <w:bCs/>
        </w:rPr>
        <w:tab/>
      </w:r>
      <w:r w:rsidRPr="002D6B4C">
        <w:rPr>
          <w:b/>
        </w:rPr>
        <w:t>2.  President Clinton’s memorandum</w:t>
      </w:r>
      <w:r>
        <w:rPr>
          <w:b/>
        </w:rPr>
        <w:t xml:space="preserve">.  </w:t>
      </w:r>
      <w:r>
        <w:rPr>
          <w:bCs/>
        </w:rPr>
        <w:t>A</w:t>
      </w:r>
      <w:r w:rsidRPr="004938FE">
        <w:rPr>
          <w:bCs/>
        </w:rPr>
        <w:t xml:space="preserve">s the previous discussion point suggests, the vigor with which agency officials implement the </w:t>
      </w:r>
      <w:r>
        <w:rPr>
          <w:bCs/>
        </w:rPr>
        <w:t>EO</w:t>
      </w:r>
      <w:r w:rsidRPr="004938FE">
        <w:rPr>
          <w:bCs/>
        </w:rPr>
        <w:t xml:space="preserve"> may vary depending upon their perception of how important the underlying policies are to the administration.</w:t>
      </w:r>
      <w:r>
        <w:rPr>
          <w:bCs/>
        </w:rPr>
        <w:t xml:space="preserve"> </w:t>
      </w:r>
      <w:r w:rsidRPr="004938FE">
        <w:rPr>
          <w:bCs/>
        </w:rPr>
        <w:t xml:space="preserve"> </w:t>
      </w:r>
      <w:r>
        <w:rPr>
          <w:bCs/>
        </w:rPr>
        <w:t xml:space="preserve">Students could search for and discuss the </w:t>
      </w:r>
      <w:r w:rsidRPr="004938FE">
        <w:rPr>
          <w:bCs/>
        </w:rPr>
        <w:t xml:space="preserve">2001 memo by former </w:t>
      </w:r>
      <w:r>
        <w:rPr>
          <w:bCs/>
        </w:rPr>
        <w:t>a</w:t>
      </w:r>
      <w:r w:rsidRPr="004938FE">
        <w:rPr>
          <w:bCs/>
        </w:rPr>
        <w:t xml:space="preserve">dministrator </w:t>
      </w:r>
      <w:r w:rsidRPr="00B31231">
        <w:rPr>
          <w:bCs/>
        </w:rPr>
        <w:t xml:space="preserve">Christine Todd Whitman in the Bush </w:t>
      </w:r>
      <w:r>
        <w:rPr>
          <w:bCs/>
        </w:rPr>
        <w:t>a</w:t>
      </w:r>
      <w:r w:rsidRPr="00B31231">
        <w:rPr>
          <w:bCs/>
        </w:rPr>
        <w:t xml:space="preserve">dministration, who resigned as </w:t>
      </w:r>
      <w:r>
        <w:rPr>
          <w:bCs/>
        </w:rPr>
        <w:t>a</w:t>
      </w:r>
      <w:r w:rsidRPr="00B31231">
        <w:rPr>
          <w:bCs/>
        </w:rPr>
        <w:t xml:space="preserve">dministrator in June 2003, </w:t>
      </w:r>
      <w:r>
        <w:rPr>
          <w:bCs/>
        </w:rPr>
        <w:t xml:space="preserve">which </w:t>
      </w:r>
      <w:r w:rsidRPr="00B31231">
        <w:rPr>
          <w:bCs/>
        </w:rPr>
        <w:t>affirmed the administration’s commitment to ensuring environmental justice and the importance of Executive Order 12898</w:t>
      </w:r>
      <w:r>
        <w:rPr>
          <w:bCs/>
        </w:rPr>
        <w:t xml:space="preserve">.  </w:t>
      </w:r>
      <w:r w:rsidRPr="004938FE">
        <w:rPr>
          <w:bCs/>
        </w:rPr>
        <w:t xml:space="preserve"> </w:t>
      </w:r>
      <w:r>
        <w:rPr>
          <w:bCs/>
        </w:rPr>
        <w:t xml:space="preserve"> </w:t>
      </w:r>
    </w:p>
    <w:p w14:paraId="007F4800" w14:textId="77777777" w:rsidR="0070589C" w:rsidRDefault="0070589C" w:rsidP="0070589C">
      <w:pPr>
        <w:pStyle w:val="BodyText"/>
        <w:jc w:val="both"/>
        <w:rPr>
          <w:bCs/>
        </w:rPr>
      </w:pPr>
    </w:p>
    <w:p w14:paraId="2DF9D8A1" w14:textId="77777777" w:rsidR="0070589C" w:rsidRDefault="0070589C" w:rsidP="0070589C">
      <w:pPr>
        <w:pStyle w:val="BodyText"/>
        <w:ind w:right="540"/>
        <w:jc w:val="both"/>
        <w:rPr>
          <w:bCs/>
        </w:rPr>
      </w:pPr>
      <w:r>
        <w:rPr>
          <w:bCs/>
        </w:rPr>
        <w:tab/>
      </w:r>
      <w:r w:rsidRPr="002D6B4C">
        <w:rPr>
          <w:b/>
        </w:rPr>
        <w:t>3.  How did the Clinton administration do?</w:t>
      </w:r>
      <w:r>
        <w:rPr>
          <w:b/>
        </w:rPr>
        <w:t xml:space="preserve">  </w:t>
      </w:r>
      <w:r>
        <w:rPr>
          <w:bCs/>
        </w:rPr>
        <w:t xml:space="preserve">The authors have purposefully omitted discussion of actions by the Trump Administration in the text.  A comparison of the Clinton and Bush Administrations, however, seeks to tease out distinctions in approaches to implement, or not implement, provisions of EO 12898.  The Clinton administration saw resources, in some instances, directed towards “promoting and achieving EJ.”    </w:t>
      </w:r>
    </w:p>
    <w:p w14:paraId="64F86DE8" w14:textId="77777777" w:rsidR="0070589C" w:rsidRDefault="0070589C" w:rsidP="0070589C">
      <w:pPr>
        <w:pStyle w:val="BodyText"/>
        <w:jc w:val="both"/>
        <w:rPr>
          <w:bCs/>
        </w:rPr>
      </w:pPr>
    </w:p>
    <w:p w14:paraId="299D4552" w14:textId="77777777" w:rsidR="0070589C" w:rsidRPr="00665EF0" w:rsidRDefault="0070589C" w:rsidP="0070589C">
      <w:pPr>
        <w:pStyle w:val="BodyText"/>
        <w:ind w:right="540"/>
        <w:jc w:val="both"/>
        <w:rPr>
          <w:b/>
        </w:rPr>
      </w:pPr>
      <w:r>
        <w:rPr>
          <w:bCs/>
        </w:rPr>
        <w:tab/>
      </w:r>
      <w:r w:rsidRPr="002D6B4C">
        <w:rPr>
          <w:b/>
        </w:rPr>
        <w:t>4.  The George W. Bush administration</w:t>
      </w:r>
      <w:r w:rsidRPr="00804EF5">
        <w:rPr>
          <w:bCs/>
        </w:rPr>
        <w:t>, however,</w:t>
      </w:r>
      <w:r>
        <w:rPr>
          <w:b/>
        </w:rPr>
        <w:t xml:space="preserve"> </w:t>
      </w:r>
      <w:r>
        <w:rPr>
          <w:bCs/>
        </w:rPr>
        <w:t xml:space="preserve">took a different approach and “de-emphasized the need to focus special attention on minority and low-income populations.”  Students could compare these approaches with that of the Obama administration, but first, should consider the implications of the treatment of race at the federal level, explored in the next section.  </w:t>
      </w:r>
      <w:r>
        <w:rPr>
          <w:b/>
        </w:rPr>
        <w:t xml:space="preserve"> </w:t>
      </w:r>
    </w:p>
    <w:p w14:paraId="11792978" w14:textId="77777777" w:rsidR="0070589C" w:rsidRDefault="0070589C" w:rsidP="0070589C">
      <w:pPr>
        <w:pStyle w:val="BodyText"/>
        <w:rPr>
          <w:bCs/>
        </w:rPr>
      </w:pPr>
    </w:p>
    <w:p w14:paraId="7038896D" w14:textId="77777777" w:rsidR="0070589C" w:rsidRPr="00C13864" w:rsidRDefault="0070589C" w:rsidP="0070589C">
      <w:pPr>
        <w:pStyle w:val="BodyText"/>
        <w:rPr>
          <w:b/>
        </w:rPr>
      </w:pPr>
      <w:r w:rsidRPr="00C13864">
        <w:rPr>
          <w:b/>
        </w:rPr>
        <w:t>2.  Government Use of Race Classifications</w:t>
      </w:r>
    </w:p>
    <w:p w14:paraId="43FD1A93" w14:textId="77777777" w:rsidR="0070589C" w:rsidRDefault="0070589C" w:rsidP="0070589C">
      <w:pPr>
        <w:pStyle w:val="BodyText"/>
        <w:rPr>
          <w:b/>
        </w:rPr>
      </w:pPr>
    </w:p>
    <w:p w14:paraId="5FF15C88" w14:textId="77777777" w:rsidR="0070589C" w:rsidRPr="00200543" w:rsidRDefault="0070589C" w:rsidP="0070589C">
      <w:pPr>
        <w:pStyle w:val="BodyText"/>
        <w:ind w:right="540"/>
        <w:jc w:val="both"/>
        <w:rPr>
          <w:bCs/>
        </w:rPr>
      </w:pPr>
      <w:r w:rsidRPr="004668A8">
        <w:rPr>
          <w:bCs/>
        </w:rPr>
        <w:tab/>
        <w:t xml:space="preserve">Although students may be familiar with the Supreme Court’s decision in </w:t>
      </w:r>
      <w:r w:rsidRPr="004668A8">
        <w:rPr>
          <w:bCs/>
          <w:i/>
          <w:iCs/>
        </w:rPr>
        <w:t>Grutter v. Bollin</w:t>
      </w:r>
      <w:r w:rsidRPr="006A0D2C">
        <w:rPr>
          <w:bCs/>
          <w:i/>
          <w:iCs/>
        </w:rPr>
        <w:t>ger</w:t>
      </w:r>
      <w:r>
        <w:rPr>
          <w:bCs/>
        </w:rPr>
        <w:t xml:space="preserve">, they could also assess how a race-conscious law school admissions program </w:t>
      </w:r>
      <w:r>
        <w:rPr>
          <w:bCs/>
        </w:rPr>
        <w:lastRenderedPageBreak/>
        <w:t xml:space="preserve">compares with a grant program or enforcement actions at EPA.  Can the students make the case for (disproportionately) increasing enforcement of environmental regulations in minority communities?  </w:t>
      </w:r>
      <w:r w:rsidRPr="00845053">
        <w:rPr>
          <w:bCs/>
          <w:i/>
          <w:iCs/>
        </w:rPr>
        <w:t>Grutter v. Bollinger</w:t>
      </w:r>
      <w:r>
        <w:rPr>
          <w:bCs/>
        </w:rPr>
        <w:t xml:space="preserve"> is one of many factors that could influence the federal government’s treatment of race.  Students could take a moment to reflect on whether the Black Lives Matter movement is also another factor.    </w:t>
      </w:r>
    </w:p>
    <w:p w14:paraId="4977B329" w14:textId="77777777" w:rsidR="0070589C" w:rsidRPr="004938FE" w:rsidRDefault="0070589C" w:rsidP="0070589C">
      <w:pPr>
        <w:pStyle w:val="BodyText"/>
        <w:rPr>
          <w:bCs/>
        </w:rPr>
      </w:pPr>
    </w:p>
    <w:p w14:paraId="1020F900" w14:textId="77777777" w:rsidR="0070589C" w:rsidRPr="00BF4138" w:rsidRDefault="0070589C" w:rsidP="0070589C">
      <w:pPr>
        <w:pStyle w:val="BodyText"/>
        <w:jc w:val="center"/>
        <w:rPr>
          <w:b/>
          <w:i/>
          <w:iCs/>
          <w:sz w:val="28"/>
          <w:szCs w:val="28"/>
        </w:rPr>
      </w:pPr>
      <w:r w:rsidRPr="00BF4138">
        <w:rPr>
          <w:b/>
          <w:i/>
          <w:iCs/>
          <w:sz w:val="28"/>
          <w:szCs w:val="28"/>
        </w:rPr>
        <w:t>Notes and Questions</w:t>
      </w:r>
    </w:p>
    <w:p w14:paraId="5BFD24F4" w14:textId="77777777" w:rsidR="0070589C" w:rsidRDefault="0070589C" w:rsidP="0070589C">
      <w:pPr>
        <w:pStyle w:val="BodyText"/>
        <w:rPr>
          <w:bCs/>
        </w:rPr>
      </w:pPr>
    </w:p>
    <w:p w14:paraId="197F8813" w14:textId="77777777" w:rsidR="0070589C" w:rsidRPr="00522541" w:rsidRDefault="0070589C" w:rsidP="0070589C">
      <w:pPr>
        <w:pStyle w:val="BodyText"/>
        <w:ind w:right="540" w:firstLine="720"/>
        <w:jc w:val="both"/>
        <w:rPr>
          <w:bCs/>
        </w:rPr>
      </w:pPr>
      <w:r w:rsidRPr="006A0D2C">
        <w:rPr>
          <w:b/>
        </w:rPr>
        <w:t>1.  The EPA’s response.</w:t>
      </w:r>
      <w:r>
        <w:rPr>
          <w:b/>
        </w:rPr>
        <w:t xml:space="preserve">  </w:t>
      </w:r>
      <w:r>
        <w:rPr>
          <w:bCs/>
        </w:rPr>
        <w:t xml:space="preserve">This note details some of EPA’s actions in 2005 following </w:t>
      </w:r>
      <w:r w:rsidRPr="00522541">
        <w:rPr>
          <w:bCs/>
          <w:i/>
          <w:iCs/>
        </w:rPr>
        <w:t>Grutter v. Bollinger</w:t>
      </w:r>
      <w:r>
        <w:rPr>
          <w:bCs/>
        </w:rPr>
        <w:t xml:space="preserve"> and the unfavorable Inspector General report from 2004.  Students could grade EPA’s response by reviewing the excerpt of the Inspector General report, in particular the conclusion that “while providing adequate environmental justice to the entire population is commendable, doing so had already been EPA’s mission,” and see whether each of these examples cures the Inspector General’s concerns.         </w:t>
      </w:r>
    </w:p>
    <w:p w14:paraId="4C93F5CD" w14:textId="77777777" w:rsidR="0070589C" w:rsidRDefault="0070589C" w:rsidP="0070589C">
      <w:pPr>
        <w:pStyle w:val="BodyText"/>
        <w:jc w:val="both"/>
        <w:rPr>
          <w:b/>
        </w:rPr>
      </w:pPr>
    </w:p>
    <w:p w14:paraId="63499C73" w14:textId="77777777" w:rsidR="0070589C" w:rsidRDefault="0070589C" w:rsidP="0070589C">
      <w:pPr>
        <w:pStyle w:val="BodyText"/>
        <w:ind w:right="540" w:firstLine="720"/>
        <w:jc w:val="both"/>
        <w:rPr>
          <w:b/>
        </w:rPr>
      </w:pPr>
      <w:r>
        <w:rPr>
          <w:b/>
        </w:rPr>
        <w:t xml:space="preserve">2.  Missing the mark?  </w:t>
      </w:r>
      <w:r>
        <w:rPr>
          <w:bCs/>
        </w:rPr>
        <w:t>Continuing the evaluation of EPA’s response, t</w:t>
      </w:r>
      <w:r w:rsidRPr="000D66C1">
        <w:rPr>
          <w:bCs/>
        </w:rPr>
        <w:t>his note</w:t>
      </w:r>
      <w:r>
        <w:rPr>
          <w:bCs/>
        </w:rPr>
        <w:t xml:space="preserve"> includes a comment letter from environmental justice groups and organizations criticizing EPA’s approach for “failing to target low-income minority communities facing multiple hazards and thereby defeat[ing] any focus upon these communities . . .”</w:t>
      </w:r>
      <w:r w:rsidRPr="000D66C1">
        <w:rPr>
          <w:bCs/>
        </w:rPr>
        <w:t xml:space="preserve"> </w:t>
      </w:r>
    </w:p>
    <w:p w14:paraId="1A03E5F6" w14:textId="77777777" w:rsidR="0070589C" w:rsidRDefault="0070589C" w:rsidP="0070589C">
      <w:pPr>
        <w:pStyle w:val="BodyText"/>
        <w:jc w:val="both"/>
        <w:rPr>
          <w:b/>
        </w:rPr>
      </w:pPr>
    </w:p>
    <w:p w14:paraId="2299BD59" w14:textId="77777777" w:rsidR="0070589C" w:rsidRPr="000D66C1" w:rsidRDefault="0070589C" w:rsidP="0070589C">
      <w:pPr>
        <w:pStyle w:val="BodyText"/>
        <w:ind w:right="540" w:firstLine="720"/>
        <w:jc w:val="both"/>
        <w:rPr>
          <w:bCs/>
        </w:rPr>
      </w:pPr>
      <w:r>
        <w:rPr>
          <w:b/>
        </w:rPr>
        <w:t>3.  EPA’s rationale.</w:t>
      </w:r>
      <w:r>
        <w:rPr>
          <w:bCs/>
        </w:rPr>
        <w:t xml:space="preserve">  However, students could then go on to evaluate EPA’s reasoning and reliance on </w:t>
      </w:r>
      <w:r w:rsidRPr="000D66C1">
        <w:rPr>
          <w:bCs/>
          <w:i/>
          <w:iCs/>
        </w:rPr>
        <w:t>Grutter v. Bollinger</w:t>
      </w:r>
      <w:r>
        <w:rPr>
          <w:bCs/>
        </w:rPr>
        <w:t xml:space="preserve">.  Are students convinced that the federal government’s hands were tied, especially in re-defining environmental justice?  Was EPA constrained by the Supreme Court decision?  Or the administration at the time?  Or both?  </w:t>
      </w:r>
    </w:p>
    <w:p w14:paraId="7F01D4E6" w14:textId="77777777" w:rsidR="0070589C" w:rsidRDefault="0070589C" w:rsidP="0070589C">
      <w:pPr>
        <w:pStyle w:val="BodyText"/>
        <w:jc w:val="both"/>
        <w:rPr>
          <w:bCs/>
        </w:rPr>
      </w:pPr>
    </w:p>
    <w:p w14:paraId="04516608" w14:textId="77777777" w:rsidR="0070589C" w:rsidRPr="0093209C" w:rsidRDefault="0070589C" w:rsidP="0070589C">
      <w:pPr>
        <w:pStyle w:val="BodyText"/>
        <w:ind w:right="540"/>
        <w:jc w:val="both"/>
        <w:rPr>
          <w:bCs/>
        </w:rPr>
      </w:pPr>
      <w:r>
        <w:rPr>
          <w:bCs/>
        </w:rPr>
        <w:tab/>
      </w:r>
      <w:r w:rsidRPr="002D2CF9">
        <w:rPr>
          <w:b/>
        </w:rPr>
        <w:t>4.  Should race matter?</w:t>
      </w:r>
      <w:r>
        <w:rPr>
          <w:b/>
        </w:rPr>
        <w:t xml:space="preserve">  </w:t>
      </w:r>
      <w:r>
        <w:rPr>
          <w:bCs/>
        </w:rPr>
        <w:t>As of the drafting of this Teacher’s Manual, current events, including the disproportionate impact of the pandemic on people of color, and the brutal killings of George Floyd, Breonna Taylor, Ahmaud Arbery, and other Black lives, have clearly highlighted that race matters.  Are students satisfied with the discretionary nature of taking race into account at the federal environmental decision-making level?  Students could finally take a moment to consider the Trump administration, operating under a racist President, but amidst a political climate that shines a spotlight on how race is handled at the agency level.</w:t>
      </w:r>
    </w:p>
    <w:p w14:paraId="41C3F8BA" w14:textId="77777777" w:rsidR="0070589C" w:rsidRDefault="0070589C" w:rsidP="0070589C">
      <w:pPr>
        <w:pStyle w:val="BodyText"/>
        <w:rPr>
          <w:bCs/>
        </w:rPr>
      </w:pPr>
    </w:p>
    <w:p w14:paraId="1629DDC6" w14:textId="77777777" w:rsidR="0070589C" w:rsidRPr="00C13864" w:rsidRDefault="0070589C" w:rsidP="0070589C">
      <w:pPr>
        <w:pStyle w:val="BodyText"/>
        <w:rPr>
          <w:b/>
        </w:rPr>
      </w:pPr>
      <w:r w:rsidRPr="00C13864">
        <w:rPr>
          <w:b/>
        </w:rPr>
        <w:t xml:space="preserve">3.  Recent Federal Strategies for Environmental Justice  </w:t>
      </w:r>
    </w:p>
    <w:p w14:paraId="5F2DC57A" w14:textId="77777777" w:rsidR="0070589C" w:rsidRPr="00C13864" w:rsidRDefault="0070589C" w:rsidP="0070589C">
      <w:pPr>
        <w:pStyle w:val="BodyText"/>
        <w:rPr>
          <w:bCs/>
          <w:sz w:val="22"/>
          <w:szCs w:val="22"/>
        </w:rPr>
      </w:pPr>
    </w:p>
    <w:p w14:paraId="79FDBD45" w14:textId="77777777" w:rsidR="0070589C" w:rsidRPr="00114AF2" w:rsidRDefault="0070589C" w:rsidP="0070589C">
      <w:pPr>
        <w:pStyle w:val="BodyText"/>
        <w:ind w:right="540" w:firstLine="720"/>
        <w:jc w:val="both"/>
        <w:rPr>
          <w:bCs/>
        </w:rPr>
      </w:pPr>
      <w:r w:rsidRPr="00114AF2">
        <w:rPr>
          <w:bCs/>
        </w:rPr>
        <w:t>In stark contrast, the Obama administration was premised on a campaign pledge to make environmental justice a priority.</w:t>
      </w:r>
      <w:r>
        <w:rPr>
          <w:bCs/>
        </w:rPr>
        <w:t xml:space="preserve">  Professor Rachel Salcido provides an overview of the Obama administration’s efforts in </w:t>
      </w:r>
      <w:r w:rsidRPr="000C3D00">
        <w:rPr>
          <w:bCs/>
          <w:i/>
          <w:iCs/>
        </w:rPr>
        <w:t>Reviving the Environmental Justice Agenda</w:t>
      </w:r>
      <w:r>
        <w:rPr>
          <w:bCs/>
        </w:rPr>
        <w:t xml:space="preserve">.  The Obama administration fulfilled that pledge in adopting Plan EJ 2014, a roadmap to integrate EJ into programs, policies and activities.  The plan consisted of improving interagency coordination and considering EJ in rulemaking and permitting; delivering financial and technical assistance for communities engaged in EJ work; and developing EJ program initiatives, all geared to making a “visible difference” in communities.  The Notes and Questions that follow invite students to critique the Obama administration’s strategies.   </w:t>
      </w:r>
      <w:r w:rsidRPr="00114AF2">
        <w:rPr>
          <w:bCs/>
        </w:rPr>
        <w:t xml:space="preserve">  </w:t>
      </w:r>
    </w:p>
    <w:p w14:paraId="16530C1C" w14:textId="77777777" w:rsidR="0070589C" w:rsidRDefault="0070589C" w:rsidP="0070589C">
      <w:pPr>
        <w:pStyle w:val="BodyText"/>
        <w:jc w:val="both"/>
        <w:rPr>
          <w:b/>
        </w:rPr>
      </w:pPr>
    </w:p>
    <w:p w14:paraId="0B045462" w14:textId="77777777" w:rsidR="0070589C" w:rsidRPr="003D0CCB" w:rsidRDefault="0070589C" w:rsidP="0070589C">
      <w:pPr>
        <w:pStyle w:val="BodyText"/>
        <w:jc w:val="center"/>
        <w:rPr>
          <w:b/>
          <w:i/>
          <w:iCs/>
          <w:sz w:val="28"/>
          <w:szCs w:val="28"/>
        </w:rPr>
      </w:pPr>
      <w:r w:rsidRPr="00BF4138">
        <w:rPr>
          <w:b/>
          <w:i/>
          <w:iCs/>
          <w:sz w:val="28"/>
          <w:szCs w:val="28"/>
        </w:rPr>
        <w:lastRenderedPageBreak/>
        <w:t>Notes and Questions</w:t>
      </w:r>
    </w:p>
    <w:p w14:paraId="4025EEA5" w14:textId="77777777" w:rsidR="0070589C" w:rsidRDefault="0070589C" w:rsidP="0070589C">
      <w:pPr>
        <w:pStyle w:val="BodyText"/>
        <w:jc w:val="both"/>
        <w:rPr>
          <w:b/>
        </w:rPr>
      </w:pPr>
    </w:p>
    <w:p w14:paraId="0A410EE1" w14:textId="77777777" w:rsidR="0070589C" w:rsidRPr="003D0CCB" w:rsidRDefault="0070589C" w:rsidP="0070589C">
      <w:pPr>
        <w:pStyle w:val="BodyText"/>
        <w:ind w:right="540" w:firstLine="720"/>
        <w:jc w:val="both"/>
        <w:rPr>
          <w:bCs/>
        </w:rPr>
      </w:pPr>
      <w:r w:rsidRPr="002A6231">
        <w:rPr>
          <w:b/>
        </w:rPr>
        <w:t>1.  Success?</w:t>
      </w:r>
      <w:r>
        <w:rPr>
          <w:b/>
        </w:rPr>
        <w:t xml:space="preserve">  </w:t>
      </w:r>
      <w:r>
        <w:rPr>
          <w:bCs/>
        </w:rPr>
        <w:t xml:space="preserve">How would the students measure success?  As the note cites, “[i]f the measurement of success is based on what the Clinton Executive Order set forth, then EPA largely accomplished that goal.”  Or do students prefer to measure by the same standard of “visible differences” in communities as stated in Plan EJ 2014?  </w:t>
      </w:r>
    </w:p>
    <w:p w14:paraId="7CE48688" w14:textId="77777777" w:rsidR="0070589C" w:rsidRPr="00A20C62" w:rsidRDefault="0070589C" w:rsidP="0070589C">
      <w:pPr>
        <w:pStyle w:val="BodyText"/>
        <w:jc w:val="both"/>
        <w:rPr>
          <w:bCs/>
        </w:rPr>
      </w:pPr>
    </w:p>
    <w:p w14:paraId="660A0378" w14:textId="77777777" w:rsidR="0070589C" w:rsidRDefault="0070589C" w:rsidP="0070589C">
      <w:pPr>
        <w:pStyle w:val="BodyText"/>
        <w:ind w:right="540" w:firstLine="720"/>
        <w:jc w:val="both"/>
        <w:rPr>
          <w:bCs/>
        </w:rPr>
      </w:pPr>
      <w:r>
        <w:rPr>
          <w:b/>
        </w:rPr>
        <w:t xml:space="preserve">2.  What about Title VI?  </w:t>
      </w:r>
      <w:r>
        <w:rPr>
          <w:bCs/>
        </w:rPr>
        <w:t>Some students may raise the question of Title VI treatment in Plan EJ 2014, and whether improved processing of such claims could be a measure of success.  This note details that, although Plan EJ 2014 specifically recognized Title VI as a “critical component in advancing EJ,” there is a question over whether EPA actually improved use of that critical component.</w:t>
      </w:r>
    </w:p>
    <w:p w14:paraId="2933FA5F" w14:textId="77777777" w:rsidR="0070589C" w:rsidRDefault="0070589C" w:rsidP="0070589C">
      <w:pPr>
        <w:pStyle w:val="BodyText"/>
        <w:ind w:firstLine="720"/>
        <w:jc w:val="both"/>
        <w:rPr>
          <w:bCs/>
        </w:rPr>
      </w:pPr>
    </w:p>
    <w:p w14:paraId="4A18D7F1" w14:textId="77777777" w:rsidR="0070589C" w:rsidRPr="002D5F79" w:rsidRDefault="0070589C" w:rsidP="0070589C">
      <w:pPr>
        <w:pStyle w:val="BodyText"/>
        <w:ind w:right="540" w:firstLine="720"/>
        <w:jc w:val="both"/>
        <w:rPr>
          <w:b/>
        </w:rPr>
      </w:pPr>
      <w:r w:rsidRPr="002D5F79">
        <w:rPr>
          <w:b/>
        </w:rPr>
        <w:t>3.  Federal Legislation?</w:t>
      </w:r>
      <w:r>
        <w:rPr>
          <w:b/>
        </w:rPr>
        <w:t xml:space="preserve">  </w:t>
      </w:r>
      <w:r>
        <w:rPr>
          <w:bCs/>
        </w:rPr>
        <w:t xml:space="preserve">Senator Cory Booker (D-NJ) introduced the Environmental Justice Act of 2017, which aimed to focus on the disproportionate impact of agency decisions on communities of color and indigenous communities. The 2017 act was introduced again in 2019 after little action was taken in 2017. Additionally, the Environmental Justice for All Act, aiming to “restore, reaffirm, and reconcile environmental justice and civil rights,” was introduced by Representative Raul Grijalva (D-AZ) in February 2020. </w:t>
      </w:r>
    </w:p>
    <w:p w14:paraId="362112B1" w14:textId="77777777" w:rsidR="0070589C" w:rsidRDefault="0070589C" w:rsidP="0070589C">
      <w:pPr>
        <w:pStyle w:val="BodyText"/>
        <w:jc w:val="both"/>
        <w:rPr>
          <w:bCs/>
        </w:rPr>
      </w:pPr>
    </w:p>
    <w:p w14:paraId="2DD6D77C" w14:textId="77777777" w:rsidR="0070589C" w:rsidRPr="004938FE" w:rsidRDefault="0070589C" w:rsidP="0070589C">
      <w:pPr>
        <w:pStyle w:val="BodyText"/>
        <w:ind w:right="540"/>
        <w:jc w:val="both"/>
        <w:rPr>
          <w:bCs/>
        </w:rPr>
      </w:pPr>
      <w:r>
        <w:rPr>
          <w:bCs/>
        </w:rPr>
        <w:tab/>
      </w:r>
      <w:r w:rsidRPr="00E03361">
        <w:rPr>
          <w:b/>
        </w:rPr>
        <w:t xml:space="preserve">4.  Actions to limit federal initiatives.  </w:t>
      </w:r>
      <w:r>
        <w:rPr>
          <w:bCs/>
        </w:rPr>
        <w:t xml:space="preserve">This note segues into the next section on State Initiatives.  Prior to reading the California and New York examples, students could take a moment to see if or talk about how their home states (or countries) have adopted EJ initiatives.  </w:t>
      </w:r>
    </w:p>
    <w:p w14:paraId="261578F4" w14:textId="77777777" w:rsidR="0070589C" w:rsidRDefault="0070589C" w:rsidP="0070589C">
      <w:pPr>
        <w:pStyle w:val="BodyText"/>
        <w:rPr>
          <w:bCs/>
        </w:rPr>
      </w:pPr>
    </w:p>
    <w:p w14:paraId="20CDF85E" w14:textId="77777777" w:rsidR="0070589C" w:rsidRPr="0034670C" w:rsidRDefault="0070589C" w:rsidP="0070589C">
      <w:pPr>
        <w:pStyle w:val="BodyText"/>
        <w:ind w:firstLine="720"/>
        <w:rPr>
          <w:b/>
        </w:rPr>
      </w:pPr>
      <w:r w:rsidRPr="0034670C">
        <w:rPr>
          <w:b/>
        </w:rPr>
        <w:t>D.  State Initiatives</w:t>
      </w:r>
    </w:p>
    <w:p w14:paraId="18BDEBD1" w14:textId="77777777" w:rsidR="0070589C" w:rsidRDefault="0070589C" w:rsidP="0070589C">
      <w:pPr>
        <w:pStyle w:val="BodyText"/>
        <w:rPr>
          <w:bCs/>
        </w:rPr>
      </w:pPr>
    </w:p>
    <w:p w14:paraId="490C7735" w14:textId="77777777" w:rsidR="0070589C" w:rsidRDefault="0070589C" w:rsidP="0070589C">
      <w:pPr>
        <w:pStyle w:val="BodyText"/>
        <w:ind w:right="540" w:firstLine="720"/>
        <w:jc w:val="both"/>
        <w:rPr>
          <w:bCs/>
        </w:rPr>
      </w:pPr>
      <w:r>
        <w:rPr>
          <w:bCs/>
        </w:rPr>
        <w:t xml:space="preserve">This section of the chapter takes a closer look at EJ initiatives adopted in California and New York, and then concludes with a brief overview of how other states have pursued EJ.  </w:t>
      </w:r>
    </w:p>
    <w:p w14:paraId="7E4614A0" w14:textId="77777777" w:rsidR="0070589C" w:rsidRDefault="0070589C" w:rsidP="0070589C">
      <w:pPr>
        <w:pStyle w:val="BodyText"/>
        <w:rPr>
          <w:bCs/>
        </w:rPr>
      </w:pPr>
    </w:p>
    <w:p w14:paraId="61923F4D" w14:textId="77777777" w:rsidR="0070589C" w:rsidRPr="0034670C" w:rsidRDefault="0070589C" w:rsidP="0070589C">
      <w:pPr>
        <w:pStyle w:val="BodyText"/>
        <w:rPr>
          <w:b/>
        </w:rPr>
      </w:pPr>
      <w:r w:rsidRPr="0034670C">
        <w:rPr>
          <w:b/>
        </w:rPr>
        <w:t>1.  California Initiatives</w:t>
      </w:r>
    </w:p>
    <w:p w14:paraId="42934C82" w14:textId="77777777" w:rsidR="0070589C" w:rsidRDefault="0070589C" w:rsidP="0070589C">
      <w:pPr>
        <w:pStyle w:val="BodyText"/>
        <w:rPr>
          <w:b/>
        </w:rPr>
      </w:pPr>
    </w:p>
    <w:p w14:paraId="27EAE168" w14:textId="77777777" w:rsidR="0070589C" w:rsidRDefault="0070589C" w:rsidP="0070589C">
      <w:pPr>
        <w:pStyle w:val="BodyText"/>
        <w:ind w:right="540"/>
        <w:jc w:val="both"/>
        <w:rPr>
          <w:bCs/>
        </w:rPr>
      </w:pPr>
      <w:r>
        <w:rPr>
          <w:b/>
        </w:rPr>
        <w:tab/>
      </w:r>
      <w:r>
        <w:rPr>
          <w:bCs/>
        </w:rPr>
        <w:t xml:space="preserve">Students could begin with California’s legislative definition of environmental justice, that ensures the “fair treatment of people of all races, cultures and income levels,” and compare with the federal government’s definition and various interpretations, along with theories of justice.  Is California’s definition that different from the that of the federal government?  Either way, the state has gone on to pass ambitious policies and actions in pursuit of environmental justice. Perhaps the most controversial of which is the cap-and-trade program.  The authors have reserved many of the critiques of the program for Chapter 14’s discussion of climate justice, but note here the many benefits and some limitations of the program are considered in Vien Truong’s article, </w:t>
      </w:r>
      <w:r w:rsidRPr="00152E5D">
        <w:rPr>
          <w:bCs/>
          <w:i/>
          <w:iCs/>
        </w:rPr>
        <w:t>Addressing Poverty and Pollution: California’s SB 535 Greenhouse Gas Reduction Fund</w:t>
      </w:r>
      <w:r>
        <w:rPr>
          <w:bCs/>
        </w:rPr>
        <w:t xml:space="preserve">.    </w:t>
      </w:r>
    </w:p>
    <w:p w14:paraId="78D625E0" w14:textId="77777777" w:rsidR="0070589C" w:rsidRPr="003C4D08" w:rsidRDefault="0070589C" w:rsidP="0070589C">
      <w:pPr>
        <w:pStyle w:val="BodyText"/>
        <w:rPr>
          <w:bCs/>
        </w:rPr>
      </w:pPr>
    </w:p>
    <w:p w14:paraId="4A77ED13" w14:textId="77777777" w:rsidR="0070589C" w:rsidRPr="00BF4138" w:rsidRDefault="0070589C" w:rsidP="0070589C">
      <w:pPr>
        <w:pStyle w:val="BodyText"/>
        <w:jc w:val="center"/>
        <w:rPr>
          <w:b/>
          <w:i/>
          <w:iCs/>
          <w:sz w:val="28"/>
          <w:szCs w:val="28"/>
        </w:rPr>
      </w:pPr>
      <w:r w:rsidRPr="00BF4138">
        <w:rPr>
          <w:b/>
          <w:i/>
          <w:iCs/>
          <w:sz w:val="28"/>
          <w:szCs w:val="28"/>
        </w:rPr>
        <w:t>Notes and Questions</w:t>
      </w:r>
    </w:p>
    <w:p w14:paraId="75CEBE8D" w14:textId="77777777" w:rsidR="0070589C" w:rsidRDefault="0070589C" w:rsidP="0070589C">
      <w:pPr>
        <w:pStyle w:val="BodyText"/>
        <w:rPr>
          <w:bCs/>
        </w:rPr>
      </w:pPr>
    </w:p>
    <w:p w14:paraId="17712076" w14:textId="77777777" w:rsidR="0070589C" w:rsidRPr="00342E1C" w:rsidRDefault="0070589C" w:rsidP="0070589C">
      <w:pPr>
        <w:pStyle w:val="BodyText"/>
        <w:ind w:right="540" w:firstLine="720"/>
        <w:jc w:val="both"/>
        <w:rPr>
          <w:bCs/>
        </w:rPr>
      </w:pPr>
      <w:r w:rsidRPr="00076406">
        <w:rPr>
          <w:b/>
        </w:rPr>
        <w:lastRenderedPageBreak/>
        <w:t>1.  Real benefits?</w:t>
      </w:r>
      <w:r>
        <w:rPr>
          <w:b/>
        </w:rPr>
        <w:t xml:space="preserve">  </w:t>
      </w:r>
      <w:r>
        <w:rPr>
          <w:bCs/>
        </w:rPr>
        <w:t xml:space="preserve">Students could take this opportunity to define what they consider a “benefit to a disadvantaged community.”  Currently, California is grappling with this issue: does benefit merely mean located in a disadvantaged community, or, does the benefit have to actually confer tangible benefits, such as workforce development or training, to residents of the disadvantaged community? </w:t>
      </w:r>
    </w:p>
    <w:p w14:paraId="69F6FE72" w14:textId="77777777" w:rsidR="0070589C" w:rsidRDefault="0070589C" w:rsidP="0070589C">
      <w:pPr>
        <w:pStyle w:val="BodyText"/>
        <w:jc w:val="both"/>
        <w:rPr>
          <w:bCs/>
        </w:rPr>
      </w:pPr>
    </w:p>
    <w:p w14:paraId="438C425E" w14:textId="77777777" w:rsidR="0070589C" w:rsidRPr="00342E1C" w:rsidRDefault="0070589C" w:rsidP="0070589C">
      <w:pPr>
        <w:pStyle w:val="BodyText"/>
        <w:ind w:right="540"/>
        <w:jc w:val="both"/>
        <w:rPr>
          <w:bCs/>
        </w:rPr>
      </w:pPr>
      <w:r>
        <w:rPr>
          <w:bCs/>
        </w:rPr>
        <w:tab/>
      </w:r>
      <w:r w:rsidRPr="00342E1C">
        <w:rPr>
          <w:b/>
        </w:rPr>
        <w:t>2.  Investments in disadvantaged communities.</w:t>
      </w:r>
      <w:r>
        <w:rPr>
          <w:b/>
        </w:rPr>
        <w:t xml:space="preserve">  </w:t>
      </w:r>
      <w:r>
        <w:rPr>
          <w:bCs/>
        </w:rPr>
        <w:t>AB 523 may help answer the above question, qualifying “located in” with “</w:t>
      </w:r>
      <w:r w:rsidRPr="00342E1C">
        <w:rPr>
          <w:bCs/>
          <w:i/>
          <w:iCs/>
        </w:rPr>
        <w:t>and</w:t>
      </w:r>
      <w:r>
        <w:rPr>
          <w:bCs/>
        </w:rPr>
        <w:t xml:space="preserve"> benefitting.”  AB 2672 is interesting because nowhere does the text of the bill identify actually building anything. However, implementation of the bill resulted in a substantial investment in communities that were once “redlined” from infrastructure investment.  If students have time, they could compare the implementation of state bills with the implementation of EO 12898, focusing on the political leanings of the decision-makers in question, and how those leanings affect EJ advocacy, both substantively and procedurally.   </w:t>
      </w:r>
    </w:p>
    <w:p w14:paraId="76DAD9A6" w14:textId="77777777" w:rsidR="0070589C" w:rsidRDefault="0070589C" w:rsidP="0070589C">
      <w:pPr>
        <w:pStyle w:val="BodyText"/>
        <w:jc w:val="both"/>
        <w:rPr>
          <w:bCs/>
        </w:rPr>
      </w:pPr>
      <w:r>
        <w:rPr>
          <w:bCs/>
        </w:rPr>
        <w:t xml:space="preserve"> </w:t>
      </w:r>
    </w:p>
    <w:p w14:paraId="44DCBCC6" w14:textId="77777777" w:rsidR="0070589C" w:rsidRDefault="0070589C" w:rsidP="0070589C">
      <w:pPr>
        <w:pStyle w:val="BodyText"/>
        <w:ind w:right="540"/>
        <w:jc w:val="both"/>
        <w:rPr>
          <w:bCs/>
        </w:rPr>
      </w:pPr>
      <w:r>
        <w:rPr>
          <w:bCs/>
        </w:rPr>
        <w:tab/>
      </w:r>
      <w:r w:rsidRPr="0059039C">
        <w:rPr>
          <w:b/>
        </w:rPr>
        <w:t>3.  Revisiting race.</w:t>
      </w:r>
      <w:r>
        <w:rPr>
          <w:b/>
        </w:rPr>
        <w:t xml:space="preserve">  </w:t>
      </w:r>
      <w:r>
        <w:rPr>
          <w:bCs/>
        </w:rPr>
        <w:t xml:space="preserve">To answer the first question in this note, what theories of justice are raised by California’s establishment of “disadvantaged communities,” students could reference notes and question 2 from Chapter 14, on page 509 of the text, “the golden inhaler.”  Although the cap-and-trade program sees substantial investment in disadvantaged communities, the program still has the ability to create local “hot spots” of pollution.  </w:t>
      </w:r>
    </w:p>
    <w:p w14:paraId="6342E15A" w14:textId="77777777" w:rsidR="0070589C" w:rsidRDefault="0070589C" w:rsidP="0070589C">
      <w:pPr>
        <w:pStyle w:val="BodyText"/>
        <w:jc w:val="both"/>
        <w:rPr>
          <w:bCs/>
        </w:rPr>
      </w:pPr>
    </w:p>
    <w:p w14:paraId="17CC2957" w14:textId="77777777" w:rsidR="0070589C" w:rsidRDefault="0070589C" w:rsidP="0070589C">
      <w:pPr>
        <w:pStyle w:val="BodyText"/>
        <w:ind w:right="540" w:firstLine="720"/>
        <w:jc w:val="both"/>
        <w:rPr>
          <w:bCs/>
        </w:rPr>
      </w:pPr>
      <w:r>
        <w:rPr>
          <w:bCs/>
        </w:rPr>
        <w:t xml:space="preserve">Regarding the second discussion point of whether state tools can use “race” as a factor, it is worth pointing out that at the time of drafting this Teacher’s Manual, California is on the verge of repealing Proposition 209.  </w:t>
      </w:r>
    </w:p>
    <w:p w14:paraId="0E5ABAD0" w14:textId="77777777" w:rsidR="0070589C" w:rsidRDefault="0070589C" w:rsidP="0070589C">
      <w:pPr>
        <w:pStyle w:val="BodyText"/>
        <w:ind w:firstLine="720"/>
        <w:jc w:val="both"/>
        <w:rPr>
          <w:bCs/>
        </w:rPr>
      </w:pPr>
    </w:p>
    <w:p w14:paraId="49BD669F" w14:textId="77777777" w:rsidR="0070589C" w:rsidRPr="00CD59F8" w:rsidRDefault="0070589C" w:rsidP="0070589C">
      <w:pPr>
        <w:pStyle w:val="BodyText"/>
        <w:ind w:right="540" w:firstLine="720"/>
        <w:jc w:val="both"/>
        <w:rPr>
          <w:bCs/>
        </w:rPr>
      </w:pPr>
      <w:r w:rsidRPr="00CD59F8">
        <w:rPr>
          <w:b/>
        </w:rPr>
        <w:t>4.  Process vs. substance.</w:t>
      </w:r>
      <w:r>
        <w:rPr>
          <w:bCs/>
        </w:rPr>
        <w:t xml:space="preserve">  As students compare initiatives in California with those at the federal level, this note narrows the focus to whether those initiatives confer substantive rights that can be enforceable at law, or procedural mechanisms for the government to achieve (meaningful) public engagement.  How does the principle of agency deference factor into the students’ observations?   </w:t>
      </w:r>
    </w:p>
    <w:p w14:paraId="0216D049" w14:textId="77777777" w:rsidR="0070589C" w:rsidRDefault="0070589C" w:rsidP="0070589C">
      <w:pPr>
        <w:pStyle w:val="BodyText"/>
        <w:ind w:firstLine="720"/>
        <w:jc w:val="both"/>
        <w:rPr>
          <w:bCs/>
        </w:rPr>
      </w:pPr>
    </w:p>
    <w:p w14:paraId="404130EC" w14:textId="77777777" w:rsidR="0070589C" w:rsidRDefault="0070589C" w:rsidP="0070589C">
      <w:pPr>
        <w:pStyle w:val="BodyText"/>
        <w:ind w:right="540"/>
        <w:jc w:val="both"/>
        <w:rPr>
          <w:b/>
        </w:rPr>
      </w:pPr>
      <w:r>
        <w:rPr>
          <w:bCs/>
        </w:rPr>
        <w:tab/>
      </w:r>
      <w:r w:rsidRPr="00CD59F8">
        <w:rPr>
          <w:b/>
        </w:rPr>
        <w:t>5.  Federal preemption and state action.</w:t>
      </w:r>
      <w:r>
        <w:rPr>
          <w:b/>
        </w:rPr>
        <w:t xml:space="preserve">  </w:t>
      </w:r>
      <w:r>
        <w:rPr>
          <w:bCs/>
        </w:rPr>
        <w:t>Senator Kamala Harris’ letter proved instrumental in this successful campaign against a crude-by-rail project in Northern California that was plagued with allegations of federal preemption preventing the local jurisdiction, the City of Benicia, from denying the project.  The authors add that significant organizing efforts centered on then-Attorney General Ms. Harris, which drove her department’s drafting of the letter excerpted in this note.  By this point in the chapter, and perhaps your EJ curriculum, it may be time to again emphasize the influence of elected officials or decision-makers on the interpretation and implementation of the law, whether at the state or federal levels of government.</w:t>
      </w:r>
      <w:r w:rsidRPr="00CD59F8">
        <w:rPr>
          <w:b/>
        </w:rPr>
        <w:t xml:space="preserve"> </w:t>
      </w:r>
    </w:p>
    <w:p w14:paraId="1FFEB49E" w14:textId="77777777" w:rsidR="0070589C" w:rsidRDefault="0070589C" w:rsidP="0070589C">
      <w:pPr>
        <w:pStyle w:val="BodyText"/>
        <w:rPr>
          <w:b/>
        </w:rPr>
      </w:pPr>
    </w:p>
    <w:p w14:paraId="0963C494" w14:textId="77777777" w:rsidR="0070589C" w:rsidRPr="00BA73FA" w:rsidRDefault="0070589C" w:rsidP="0070589C">
      <w:pPr>
        <w:pStyle w:val="BodyText"/>
        <w:rPr>
          <w:b/>
          <w:sz w:val="28"/>
          <w:szCs w:val="28"/>
        </w:rPr>
      </w:pPr>
      <w:r w:rsidRPr="0034670C">
        <w:rPr>
          <w:b/>
        </w:rPr>
        <w:t>2.  New York Initiatives</w:t>
      </w:r>
      <w:r w:rsidRPr="0034670C">
        <w:rPr>
          <w:b/>
        </w:rPr>
        <w:tab/>
      </w:r>
      <w:r w:rsidRPr="00BA73FA">
        <w:rPr>
          <w:b/>
          <w:sz w:val="28"/>
          <w:szCs w:val="28"/>
        </w:rPr>
        <w:tab/>
        <w:t xml:space="preserve"> </w:t>
      </w:r>
    </w:p>
    <w:p w14:paraId="53791790" w14:textId="77777777" w:rsidR="0070589C" w:rsidRDefault="0070589C" w:rsidP="0070589C">
      <w:pPr>
        <w:pStyle w:val="BodyText"/>
        <w:rPr>
          <w:bCs/>
        </w:rPr>
      </w:pPr>
    </w:p>
    <w:p w14:paraId="6789D92F" w14:textId="77777777" w:rsidR="0070589C" w:rsidRPr="00CC2083" w:rsidRDefault="0070589C" w:rsidP="0070589C">
      <w:pPr>
        <w:pStyle w:val="BodyText"/>
        <w:ind w:right="540" w:firstLine="720"/>
        <w:jc w:val="both"/>
        <w:rPr>
          <w:bCs/>
        </w:rPr>
      </w:pPr>
      <w:r>
        <w:rPr>
          <w:bCs/>
        </w:rPr>
        <w:t xml:space="preserve">New York’s Climate Leadership and Community Protection Act attempts to integrate environmental justice into every aspect of state decision-making.  To that end, it created a permanent Environmental Justice Advisory Council with significant community </w:t>
      </w:r>
      <w:r>
        <w:rPr>
          <w:bCs/>
        </w:rPr>
        <w:lastRenderedPageBreak/>
        <w:t xml:space="preserve">representation. The Advisory Council is tasked with creating a model policy to “ensure </w:t>
      </w:r>
      <w:r w:rsidRPr="00CC2083">
        <w:rPr>
          <w:shd w:val="clear" w:color="auto" w:fill="FFFFFF"/>
        </w:rPr>
        <w:t>that no group of people, including a racial, ethnic, or socioeconomic group, bears a disproportionate share of the negative environmental consequences resulting from industrial, municipal, and commercial operations or the execution of federal, state, local, and tribal programs and policies</w:t>
      </w:r>
      <w:r>
        <w:rPr>
          <w:shd w:val="clear" w:color="auto" w:fill="FFFFFF"/>
        </w:rPr>
        <w:t xml:space="preserve">.” </w:t>
      </w:r>
      <w:r>
        <w:rPr>
          <w:bCs/>
        </w:rPr>
        <w:t xml:space="preserve">Every relevant state agency must then adopt their own environmental justice regulations in line with that model policy, or must implement the model policy. The Advisory Council has authority to monitor compliance with those policies.  </w:t>
      </w:r>
    </w:p>
    <w:p w14:paraId="2E5DD32A" w14:textId="77777777" w:rsidR="0070589C" w:rsidRPr="00130DD3" w:rsidRDefault="0070589C" w:rsidP="0070589C">
      <w:pPr>
        <w:pStyle w:val="BodyText"/>
        <w:jc w:val="both"/>
        <w:rPr>
          <w:bCs/>
        </w:rPr>
      </w:pPr>
    </w:p>
    <w:p w14:paraId="607ACC18" w14:textId="77777777" w:rsidR="0070589C" w:rsidRDefault="0070589C" w:rsidP="0070589C">
      <w:pPr>
        <w:pStyle w:val="HTMLPreformatted"/>
        <w:shd w:val="clear" w:color="auto" w:fill="FFFFFF"/>
        <w:ind w:right="540"/>
        <w:jc w:val="both"/>
        <w:rPr>
          <w:rFonts w:ascii="Times New Roman" w:hAnsi="Times New Roman" w:cs="Times New Roman"/>
          <w:color w:val="222222"/>
          <w:sz w:val="24"/>
          <w:szCs w:val="24"/>
        </w:rPr>
      </w:pPr>
      <w:r>
        <w:rPr>
          <w:rFonts w:ascii="Times New Roman" w:hAnsi="Times New Roman" w:cs="Times New Roman"/>
          <w:bCs/>
          <w:sz w:val="24"/>
          <w:szCs w:val="24"/>
        </w:rPr>
        <w:tab/>
        <w:t>Students can discuss the advantages and disadvantages of the New York approach. The teacher might a</w:t>
      </w:r>
      <w:r w:rsidRPr="00130DD3">
        <w:rPr>
          <w:rFonts w:ascii="Times New Roman" w:hAnsi="Times New Roman" w:cs="Times New Roman"/>
          <w:bCs/>
          <w:sz w:val="24"/>
          <w:szCs w:val="24"/>
        </w:rPr>
        <w:t>sk students who they would appoint to the Advisory Council</w:t>
      </w:r>
      <w:r>
        <w:rPr>
          <w:rFonts w:ascii="Times New Roman" w:hAnsi="Times New Roman" w:cs="Times New Roman"/>
          <w:bCs/>
          <w:sz w:val="24"/>
          <w:szCs w:val="24"/>
        </w:rPr>
        <w:t xml:space="preserve"> and by what mechanism</w:t>
      </w:r>
      <w:r w:rsidRPr="00130DD3">
        <w:rPr>
          <w:rFonts w:ascii="Times New Roman" w:hAnsi="Times New Roman" w:cs="Times New Roman"/>
          <w:bCs/>
          <w:sz w:val="24"/>
          <w:szCs w:val="24"/>
        </w:rPr>
        <w:t xml:space="preserve">? The New York Statute requires that the Advisory Council be composed of </w:t>
      </w:r>
      <w:r w:rsidRPr="00130DD3">
        <w:rPr>
          <w:rFonts w:ascii="Times New Roman" w:hAnsi="Times New Roman" w:cs="Times New Roman"/>
          <w:color w:val="222222"/>
          <w:sz w:val="24"/>
          <w:szCs w:val="24"/>
        </w:rPr>
        <w:t xml:space="preserve">five members </w:t>
      </w:r>
      <w:r>
        <w:rPr>
          <w:rFonts w:ascii="Times New Roman" w:hAnsi="Times New Roman" w:cs="Times New Roman"/>
          <w:color w:val="222222"/>
          <w:sz w:val="24"/>
          <w:szCs w:val="24"/>
        </w:rPr>
        <w:t>r</w:t>
      </w:r>
      <w:r w:rsidRPr="00BC1604">
        <w:rPr>
          <w:rFonts w:ascii="Times New Roman" w:hAnsi="Times New Roman" w:cs="Times New Roman"/>
          <w:color w:val="222222"/>
          <w:sz w:val="24"/>
          <w:szCs w:val="24"/>
        </w:rPr>
        <w:t>epresenting community-based organizations that assist minority and</w:t>
      </w:r>
      <w:r w:rsidRPr="00130DD3">
        <w:rPr>
          <w:rFonts w:ascii="Times New Roman" w:hAnsi="Times New Roman" w:cs="Times New Roman"/>
          <w:color w:val="222222"/>
          <w:sz w:val="24"/>
          <w:szCs w:val="24"/>
        </w:rPr>
        <w:t xml:space="preserve"> </w:t>
      </w:r>
      <w:r w:rsidRPr="00BC1604">
        <w:rPr>
          <w:rFonts w:ascii="Times New Roman" w:hAnsi="Times New Roman" w:cs="Times New Roman"/>
          <w:color w:val="222222"/>
          <w:sz w:val="24"/>
          <w:szCs w:val="24"/>
        </w:rPr>
        <w:t xml:space="preserve">low-income communities on </w:t>
      </w:r>
      <w:r>
        <w:rPr>
          <w:rFonts w:ascii="Times New Roman" w:hAnsi="Times New Roman" w:cs="Times New Roman"/>
          <w:color w:val="222222"/>
          <w:sz w:val="24"/>
          <w:szCs w:val="24"/>
        </w:rPr>
        <w:t>e</w:t>
      </w:r>
      <w:r w:rsidRPr="00BC1604">
        <w:rPr>
          <w:rFonts w:ascii="Times New Roman" w:hAnsi="Times New Roman" w:cs="Times New Roman"/>
          <w:color w:val="222222"/>
          <w:sz w:val="24"/>
          <w:szCs w:val="24"/>
        </w:rPr>
        <w:t>nvironmental matters, four representatives of</w:t>
      </w:r>
      <w:r w:rsidRPr="00130DD3">
        <w:rPr>
          <w:rFonts w:ascii="Times New Roman" w:hAnsi="Times New Roman" w:cs="Times New Roman"/>
          <w:color w:val="222222"/>
          <w:sz w:val="24"/>
          <w:szCs w:val="24"/>
        </w:rPr>
        <w:t xml:space="preserve"> </w:t>
      </w:r>
      <w:r w:rsidRPr="00BC1604">
        <w:rPr>
          <w:rFonts w:ascii="Times New Roman" w:hAnsi="Times New Roman" w:cs="Times New Roman"/>
          <w:color w:val="222222"/>
          <w:sz w:val="24"/>
          <w:szCs w:val="24"/>
        </w:rPr>
        <w:t>business, two local government environmental officials and four members</w:t>
      </w:r>
      <w:r w:rsidRPr="00130DD3">
        <w:rPr>
          <w:rFonts w:ascii="Times New Roman" w:hAnsi="Times New Roman" w:cs="Times New Roman"/>
          <w:color w:val="222222"/>
          <w:sz w:val="24"/>
          <w:szCs w:val="24"/>
        </w:rPr>
        <w:t xml:space="preserve"> </w:t>
      </w:r>
      <w:r w:rsidRPr="00BC1604">
        <w:rPr>
          <w:rFonts w:ascii="Times New Roman" w:hAnsi="Times New Roman" w:cs="Times New Roman"/>
          <w:color w:val="222222"/>
          <w:sz w:val="24"/>
          <w:szCs w:val="24"/>
        </w:rPr>
        <w:t>drawn from national or state environmental organizations, researchers,</w:t>
      </w:r>
      <w:r>
        <w:rPr>
          <w:rFonts w:ascii="Times New Roman" w:hAnsi="Times New Roman" w:cs="Times New Roman"/>
          <w:color w:val="222222"/>
          <w:sz w:val="24"/>
          <w:szCs w:val="24"/>
        </w:rPr>
        <w:t xml:space="preserve"> </w:t>
      </w:r>
      <w:r w:rsidRPr="00BC1604">
        <w:rPr>
          <w:rFonts w:ascii="Times New Roman" w:hAnsi="Times New Roman" w:cs="Times New Roman"/>
          <w:color w:val="222222"/>
          <w:sz w:val="24"/>
          <w:szCs w:val="24"/>
        </w:rPr>
        <w:t>educators and the general public.</w:t>
      </w:r>
      <w:r>
        <w:rPr>
          <w:rFonts w:ascii="Times New Roman" w:hAnsi="Times New Roman" w:cs="Times New Roman"/>
          <w:color w:val="222222"/>
          <w:sz w:val="24"/>
          <w:szCs w:val="24"/>
        </w:rPr>
        <w:t xml:space="preserve"> How does the list produced by your students differ? </w:t>
      </w:r>
    </w:p>
    <w:p w14:paraId="61F4ACC1" w14:textId="77777777" w:rsidR="0070589C" w:rsidRDefault="0070589C" w:rsidP="0070589C">
      <w:pPr>
        <w:pStyle w:val="HTMLPreformatted"/>
        <w:shd w:val="clear" w:color="auto" w:fill="FFFFFF"/>
        <w:jc w:val="both"/>
        <w:rPr>
          <w:rFonts w:ascii="Times New Roman" w:hAnsi="Times New Roman" w:cs="Times New Roman"/>
          <w:color w:val="222222"/>
          <w:sz w:val="24"/>
          <w:szCs w:val="24"/>
        </w:rPr>
      </w:pPr>
    </w:p>
    <w:p w14:paraId="02944182" w14:textId="77777777" w:rsidR="0070589C" w:rsidRPr="0020732E" w:rsidRDefault="0070589C" w:rsidP="0070589C">
      <w:pPr>
        <w:pStyle w:val="HTMLPreformatted"/>
        <w:shd w:val="clear" w:color="auto" w:fill="FFFFFF"/>
        <w:ind w:right="540"/>
        <w:jc w:val="both"/>
        <w:rPr>
          <w:rFonts w:ascii="Times New Roman" w:hAnsi="Times New Roman" w:cs="Times New Roman"/>
          <w:color w:val="222222"/>
          <w:sz w:val="24"/>
          <w:szCs w:val="24"/>
        </w:rPr>
      </w:pPr>
      <w:r>
        <w:rPr>
          <w:rFonts w:ascii="Times New Roman" w:hAnsi="Times New Roman" w:cs="Times New Roman"/>
          <w:color w:val="222222"/>
          <w:sz w:val="24"/>
          <w:szCs w:val="24"/>
        </w:rPr>
        <w:tab/>
        <w:t xml:space="preserve">New York City has enacted multiple local ordinances designed to promote environmental justice. This is a good place to discuss cooperative federalism, and issues of home-rule for cities.  Many students will not be familiar with the contours of the relationship between municipal and state level authority, and of course that relationship is different in each state. One good way to explore this overlap of authority and the potential for conflicts and regulatory gaps is to have the students identify an environmental justice issue of local concern (managing plastic or Styrofoam waste or bike lanes work quite well in many places) and then work in groups to consider municipal, state, or federal actors with authority over the problem. Guest speakers from community groups can flesh out the issue for students.   </w:t>
      </w:r>
    </w:p>
    <w:p w14:paraId="0CA1C018" w14:textId="77777777" w:rsidR="0070589C" w:rsidRDefault="0070589C" w:rsidP="0070589C">
      <w:pPr>
        <w:pStyle w:val="BodyText"/>
        <w:jc w:val="both"/>
        <w:rPr>
          <w:bCs/>
        </w:rPr>
      </w:pPr>
    </w:p>
    <w:p w14:paraId="3452FE1D" w14:textId="77777777" w:rsidR="0070589C" w:rsidRPr="00BF4138" w:rsidRDefault="0070589C" w:rsidP="0070589C">
      <w:pPr>
        <w:pStyle w:val="BodyText"/>
        <w:jc w:val="center"/>
        <w:rPr>
          <w:b/>
          <w:i/>
          <w:iCs/>
          <w:sz w:val="28"/>
          <w:szCs w:val="28"/>
        </w:rPr>
      </w:pPr>
      <w:r w:rsidRPr="00BF4138">
        <w:rPr>
          <w:b/>
          <w:i/>
          <w:iCs/>
          <w:sz w:val="28"/>
          <w:szCs w:val="28"/>
        </w:rPr>
        <w:t>Notes and Questions</w:t>
      </w:r>
    </w:p>
    <w:p w14:paraId="6EEB5B24" w14:textId="77777777" w:rsidR="0070589C" w:rsidRDefault="0070589C" w:rsidP="0070589C">
      <w:pPr>
        <w:pStyle w:val="BodyText"/>
        <w:jc w:val="both"/>
        <w:rPr>
          <w:bCs/>
        </w:rPr>
      </w:pPr>
    </w:p>
    <w:p w14:paraId="56146302" w14:textId="77777777" w:rsidR="0070589C" w:rsidRPr="00896045" w:rsidRDefault="0070589C" w:rsidP="0070589C">
      <w:pPr>
        <w:pStyle w:val="BodyText"/>
        <w:ind w:right="540" w:firstLine="720"/>
        <w:jc w:val="both"/>
        <w:rPr>
          <w:b/>
        </w:rPr>
      </w:pPr>
      <w:r>
        <w:rPr>
          <w:b/>
        </w:rPr>
        <w:t xml:space="preserve">1.   </w:t>
      </w:r>
      <w:r w:rsidRPr="004606DE">
        <w:rPr>
          <w:b/>
        </w:rPr>
        <w:t>New York state of mind.</w:t>
      </w:r>
      <w:r>
        <w:rPr>
          <w:b/>
        </w:rPr>
        <w:t xml:space="preserve">  </w:t>
      </w:r>
      <w:r w:rsidRPr="00896045">
        <w:rPr>
          <w:bCs/>
        </w:rPr>
        <w:t xml:space="preserve">Here is a short Ted Talk video from WEACT leader Peggy Shepard, </w:t>
      </w:r>
      <w:hyperlink r:id="rId49" w:history="1">
        <w:r>
          <w:rPr>
            <w:rStyle w:val="Hyperlink"/>
          </w:rPr>
          <w:t>https://www.youtube.com/watch?v=zJX_MXaXbJA</w:t>
        </w:r>
      </w:hyperlink>
      <w:r>
        <w:t>.  She is</w:t>
      </w:r>
      <w:r w:rsidRPr="00896045">
        <w:rPr>
          <w:bCs/>
        </w:rPr>
        <w:t xml:space="preserve"> a member of the New York State Environmental Justice Advisory Council, and chair of the New York City Environmental Justice Advisory Committee.</w:t>
      </w:r>
      <w:r>
        <w:rPr>
          <w:bCs/>
        </w:rPr>
        <w:t xml:space="preserve"> It gives students an idea of the scope of change that is possible through engaged political advocacy, dynamic community policy work, and litigation.</w:t>
      </w:r>
    </w:p>
    <w:p w14:paraId="67272DBF" w14:textId="77777777" w:rsidR="0070589C" w:rsidRPr="004938FE" w:rsidRDefault="0070589C" w:rsidP="0070589C">
      <w:pPr>
        <w:pStyle w:val="BodyText"/>
        <w:jc w:val="both"/>
        <w:rPr>
          <w:bCs/>
        </w:rPr>
      </w:pPr>
    </w:p>
    <w:p w14:paraId="6512F969" w14:textId="77777777" w:rsidR="0070589C" w:rsidRDefault="0070589C" w:rsidP="0070589C">
      <w:pPr>
        <w:pStyle w:val="BodyText"/>
        <w:ind w:right="540" w:firstLine="720"/>
        <w:jc w:val="both"/>
        <w:rPr>
          <w:bCs/>
        </w:rPr>
      </w:pPr>
      <w:r>
        <w:rPr>
          <w:b/>
        </w:rPr>
        <w:t>2.  Best p</w:t>
      </w:r>
      <w:r w:rsidRPr="00950B7C">
        <w:rPr>
          <w:b/>
        </w:rPr>
        <w:t>ractices?</w:t>
      </w:r>
      <w:r>
        <w:rPr>
          <w:bCs/>
        </w:rPr>
        <w:t xml:space="preserve">  After reviewing the approaches of California, New York, and other states, students could engage in another hypothetical to design their model environmental justice initiative.  </w:t>
      </w:r>
      <w:r w:rsidRPr="004938FE">
        <w:rPr>
          <w:bCs/>
        </w:rPr>
        <w:t xml:space="preserve">For purposes of discussion, you might want to organize the approaches into three broad categories: Legislation, a Governor’s Executive Order, or Orders or Strategic plans by the head of the state’s lead environmental agency. </w:t>
      </w:r>
      <w:r>
        <w:rPr>
          <w:bCs/>
        </w:rPr>
        <w:t xml:space="preserve"> </w:t>
      </w:r>
      <w:r w:rsidRPr="004938FE">
        <w:rPr>
          <w:bCs/>
        </w:rPr>
        <w:t xml:space="preserve">The students might want to discuss the benefits and potential pitfalls </w:t>
      </w:r>
      <w:r>
        <w:rPr>
          <w:bCs/>
        </w:rPr>
        <w:t>of</w:t>
      </w:r>
      <w:r w:rsidRPr="004938FE">
        <w:rPr>
          <w:bCs/>
        </w:rPr>
        <w:t xml:space="preserve"> each approach.</w:t>
      </w:r>
      <w:r>
        <w:rPr>
          <w:bCs/>
        </w:rPr>
        <w:t xml:space="preserve">  </w:t>
      </w:r>
      <w:r w:rsidRPr="004938FE">
        <w:rPr>
          <w:bCs/>
        </w:rPr>
        <w:t xml:space="preserve">California has gone the legislative route, with several pieces of legislation that give general directives to identify impacted areas, improve research and data collection, and carry out education. </w:t>
      </w:r>
      <w:r>
        <w:rPr>
          <w:bCs/>
        </w:rPr>
        <w:t xml:space="preserve"> </w:t>
      </w:r>
      <w:r w:rsidRPr="004938FE">
        <w:rPr>
          <w:bCs/>
        </w:rPr>
        <w:t xml:space="preserve">This question takes the class back, full circle, to revisit some of the fundamental questions posed in Chapter 1. </w:t>
      </w:r>
      <w:r>
        <w:rPr>
          <w:bCs/>
        </w:rPr>
        <w:t xml:space="preserve"> </w:t>
      </w:r>
      <w:r w:rsidRPr="004938FE">
        <w:rPr>
          <w:bCs/>
        </w:rPr>
        <w:t xml:space="preserve">What is fair treatment? </w:t>
      </w:r>
      <w:r>
        <w:rPr>
          <w:bCs/>
        </w:rPr>
        <w:t xml:space="preserve"> </w:t>
      </w:r>
      <w:r w:rsidRPr="004938FE">
        <w:rPr>
          <w:bCs/>
        </w:rPr>
        <w:t xml:space="preserve">Is environmental justice just about equal distributions, or about </w:t>
      </w:r>
      <w:r w:rsidRPr="004938FE">
        <w:rPr>
          <w:bCs/>
        </w:rPr>
        <w:lastRenderedPageBreak/>
        <w:t xml:space="preserve">fair process? </w:t>
      </w:r>
      <w:r>
        <w:rPr>
          <w:bCs/>
        </w:rPr>
        <w:t xml:space="preserve"> </w:t>
      </w:r>
      <w:r w:rsidRPr="004938FE">
        <w:rPr>
          <w:bCs/>
        </w:rPr>
        <w:t>Is it just about health issues, or are sacred sites, sovereignty and self-determination, and quality of life equally important issues?</w:t>
      </w:r>
      <w:r>
        <w:rPr>
          <w:bCs/>
        </w:rPr>
        <w:t xml:space="preserve">  </w:t>
      </w:r>
      <w:r w:rsidRPr="004938FE">
        <w:rPr>
          <w:bCs/>
        </w:rPr>
        <w:t>Another approach is to look at the EPA’s definition of environmental justice and consider whether it is adequate to address the environmental justice issues that have been discussed throughout this course.</w:t>
      </w:r>
      <w:r>
        <w:rPr>
          <w:bCs/>
        </w:rPr>
        <w:t xml:space="preserve">  Notably, students can refer to the California EPA website that includes a definition of environmental justice that apparently is in contention with the state’s legislative definition of environmental justice: </w:t>
      </w:r>
    </w:p>
    <w:p w14:paraId="23F7291B" w14:textId="77777777" w:rsidR="0070589C" w:rsidRDefault="0070589C" w:rsidP="0070589C">
      <w:pPr>
        <w:pStyle w:val="BodyText"/>
        <w:ind w:right="540" w:firstLine="720"/>
        <w:jc w:val="both"/>
        <w:rPr>
          <w:bCs/>
        </w:rPr>
      </w:pPr>
    </w:p>
    <w:p w14:paraId="5BF0C33A" w14:textId="77777777" w:rsidR="0070589C" w:rsidRDefault="0070589C" w:rsidP="0070589C">
      <w:pPr>
        <w:pStyle w:val="BodyText"/>
        <w:ind w:left="720" w:right="1080"/>
        <w:jc w:val="both"/>
        <w:rPr>
          <w:bCs/>
        </w:rPr>
      </w:pPr>
      <w:r>
        <w:rPr>
          <w:bCs/>
        </w:rPr>
        <w:t>“</w:t>
      </w:r>
      <w:r w:rsidRPr="00950B7C">
        <w:rPr>
          <w:bCs/>
        </w:rPr>
        <w:t xml:space="preserve">California was one of the first states in the nation to codify environmental justice in statute. </w:t>
      </w:r>
      <w:r>
        <w:rPr>
          <w:bCs/>
        </w:rPr>
        <w:t xml:space="preserve"> </w:t>
      </w:r>
      <w:r w:rsidRPr="00950B7C">
        <w:rPr>
          <w:bCs/>
        </w:rPr>
        <w:t xml:space="preserve">Beyond the fair treatment called for in </w:t>
      </w:r>
      <w:r>
        <w:rPr>
          <w:bCs/>
        </w:rPr>
        <w:t xml:space="preserve">[the government code], </w:t>
      </w:r>
      <w:r w:rsidRPr="00950B7C">
        <w:rPr>
          <w:bCs/>
        </w:rPr>
        <w:t>leaders in the environmental justice movement work to include those individuals disproportionately impacted by pollution in decision making processes.</w:t>
      </w:r>
      <w:r>
        <w:rPr>
          <w:bCs/>
        </w:rPr>
        <w:t xml:space="preserve"> </w:t>
      </w:r>
      <w:r w:rsidRPr="00950B7C">
        <w:rPr>
          <w:bCs/>
        </w:rPr>
        <w:t xml:space="preserve"> The aim is to lift the unfair burden of pollution from those most vulnerable to its effects.</w:t>
      </w:r>
      <w:r>
        <w:rPr>
          <w:bCs/>
        </w:rPr>
        <w:t xml:space="preserve">”  </w:t>
      </w:r>
    </w:p>
    <w:p w14:paraId="3E7E80C8" w14:textId="77777777" w:rsidR="0070589C" w:rsidRDefault="0070589C" w:rsidP="0070589C">
      <w:pPr>
        <w:pStyle w:val="BodyText"/>
        <w:ind w:right="540"/>
        <w:jc w:val="both"/>
        <w:rPr>
          <w:bCs/>
        </w:rPr>
      </w:pPr>
    </w:p>
    <w:p w14:paraId="161F4409" w14:textId="77777777" w:rsidR="0070589C" w:rsidRDefault="0070589C" w:rsidP="0070589C">
      <w:pPr>
        <w:pStyle w:val="BodyText"/>
        <w:ind w:right="540"/>
        <w:jc w:val="both"/>
        <w:rPr>
          <w:bCs/>
        </w:rPr>
      </w:pPr>
      <w:r>
        <w:rPr>
          <w:bCs/>
        </w:rPr>
        <w:t xml:space="preserve">CalEPA Environmental Justice program description, available at </w:t>
      </w:r>
      <w:hyperlink r:id="rId50" w:history="1">
        <w:r w:rsidRPr="00270B87">
          <w:rPr>
            <w:rStyle w:val="Hyperlink"/>
          </w:rPr>
          <w:t>https://calepa.ca.gov/envjustice/</w:t>
        </w:r>
      </w:hyperlink>
      <w:r>
        <w:rPr>
          <w:bCs/>
        </w:rPr>
        <w:t xml:space="preserve">.  Students could consider how this clarification does, or does not, affect the implementation and enforcement of California’s environmental laws and regulations.   </w:t>
      </w:r>
    </w:p>
    <w:p w14:paraId="4881DCC5" w14:textId="77777777" w:rsidR="0070589C" w:rsidRDefault="0070589C" w:rsidP="0070589C">
      <w:pPr>
        <w:pStyle w:val="BodyText"/>
        <w:rPr>
          <w:bCs/>
        </w:rPr>
      </w:pPr>
    </w:p>
    <w:p w14:paraId="38FF40B1" w14:textId="77777777" w:rsidR="0070589C" w:rsidRPr="00C13864" w:rsidRDefault="0070589C" w:rsidP="0070589C">
      <w:pPr>
        <w:pStyle w:val="BodyText"/>
        <w:ind w:firstLine="720"/>
        <w:rPr>
          <w:b/>
        </w:rPr>
      </w:pPr>
      <w:r w:rsidRPr="00C13864">
        <w:rPr>
          <w:b/>
        </w:rPr>
        <w:t>E.  Tribal Initiatives</w:t>
      </w:r>
    </w:p>
    <w:p w14:paraId="336198F3" w14:textId="77777777" w:rsidR="0070589C" w:rsidRDefault="0070589C" w:rsidP="0070589C">
      <w:pPr>
        <w:pStyle w:val="BodyText"/>
        <w:rPr>
          <w:bCs/>
        </w:rPr>
      </w:pPr>
    </w:p>
    <w:p w14:paraId="4235632A" w14:textId="77777777" w:rsidR="0070589C" w:rsidRDefault="0070589C" w:rsidP="0070589C">
      <w:pPr>
        <w:pStyle w:val="BodyText"/>
        <w:ind w:right="540"/>
        <w:jc w:val="both"/>
        <w:rPr>
          <w:bCs/>
        </w:rPr>
      </w:pPr>
      <w:r>
        <w:rPr>
          <w:bCs/>
        </w:rPr>
        <w:tab/>
        <w:t xml:space="preserve">Once students have designed their model environmental justice initiative, they could go further and add the additional layer of the particulars of tribal management over tribal lands and resources.  This section of the chapter briefly examines tribes’ inherent authority to manage the lands and resources over which they have jurisdiction (which unfortunately is often contested), tribes’ efforts to obtain delegation of authority to administer federal programs, the degree of funding for tribal initiatives, and the potential for ‘bad’ development decisions made by Tribes.  Students could read this section in conjunction with the broader discussion of Environmental Justice in Indian Country, Chapter 9.   </w:t>
      </w:r>
    </w:p>
    <w:p w14:paraId="152A27A4" w14:textId="77777777" w:rsidR="0070589C" w:rsidRPr="00C13864" w:rsidRDefault="0070589C" w:rsidP="0070589C">
      <w:pPr>
        <w:pStyle w:val="BodyText"/>
        <w:rPr>
          <w:bCs/>
          <w:sz w:val="22"/>
          <w:szCs w:val="22"/>
        </w:rPr>
      </w:pPr>
    </w:p>
    <w:p w14:paraId="0D3F68D7" w14:textId="77777777" w:rsidR="0070589C" w:rsidRPr="00C13864" w:rsidRDefault="0070589C" w:rsidP="0070589C">
      <w:pPr>
        <w:pStyle w:val="BodyText"/>
        <w:ind w:firstLine="720"/>
        <w:rPr>
          <w:b/>
        </w:rPr>
      </w:pPr>
      <w:r w:rsidRPr="00C13864">
        <w:rPr>
          <w:b/>
        </w:rPr>
        <w:t>F.  Collaborative Approaches</w:t>
      </w:r>
    </w:p>
    <w:p w14:paraId="54A5C4AA" w14:textId="77777777" w:rsidR="0070589C" w:rsidRDefault="0070589C" w:rsidP="0070589C">
      <w:pPr>
        <w:pStyle w:val="BodyText"/>
        <w:rPr>
          <w:bCs/>
        </w:rPr>
      </w:pPr>
    </w:p>
    <w:p w14:paraId="76768F50" w14:textId="77777777" w:rsidR="0070589C" w:rsidRDefault="0070589C" w:rsidP="0070589C">
      <w:pPr>
        <w:pStyle w:val="BodyText"/>
        <w:ind w:right="540"/>
        <w:jc w:val="both"/>
        <w:rPr>
          <w:bCs/>
        </w:rPr>
      </w:pPr>
      <w:r>
        <w:rPr>
          <w:bCs/>
        </w:rPr>
        <w:tab/>
        <w:t xml:space="preserve">This final section of the chapter explores a host of issues that could arise in government initiatives to promote environmental justice that rely on “stakeholder” participation.  As your course examines this evolving practice, students should pay attention to the overarching question: how can a government agency achieve </w:t>
      </w:r>
      <w:r w:rsidRPr="003A608E">
        <w:rPr>
          <w:bCs/>
          <w:i/>
          <w:iCs/>
        </w:rPr>
        <w:t>meaningful</w:t>
      </w:r>
      <w:r>
        <w:rPr>
          <w:bCs/>
        </w:rPr>
        <w:t xml:space="preserve"> participation of affected residents or community-based organizations that represent those residents?  The text provides one example, the Interagency Working Group on Environmental Justice (IWG).  Charles Lee of the EPA’s Office of Environmental Justice provides some insight in his </w:t>
      </w:r>
      <w:r w:rsidRPr="002D27B0">
        <w:rPr>
          <w:bCs/>
          <w:i/>
          <w:iCs/>
        </w:rPr>
        <w:t>Submission to the National Environmental Policy Commission</w:t>
      </w:r>
      <w:r>
        <w:rPr>
          <w:bCs/>
        </w:rPr>
        <w:t xml:space="preserve"> that provides a brief overview of the IWG Collaborative Model based on various demonstration projects.  </w:t>
      </w:r>
    </w:p>
    <w:p w14:paraId="3D64DCEF" w14:textId="77777777" w:rsidR="0070589C" w:rsidRDefault="0070589C" w:rsidP="0070589C">
      <w:pPr>
        <w:pStyle w:val="BodyText"/>
        <w:ind w:right="540"/>
        <w:jc w:val="both"/>
        <w:rPr>
          <w:bCs/>
        </w:rPr>
      </w:pPr>
    </w:p>
    <w:p w14:paraId="617C93D0" w14:textId="77777777" w:rsidR="0070589C" w:rsidRPr="00391D44" w:rsidRDefault="0070589C" w:rsidP="0070589C">
      <w:pPr>
        <w:pStyle w:val="BodyText"/>
        <w:ind w:right="540"/>
        <w:jc w:val="center"/>
        <w:rPr>
          <w:b/>
          <w:i/>
          <w:iCs/>
          <w:sz w:val="28"/>
          <w:szCs w:val="28"/>
        </w:rPr>
      </w:pPr>
      <w:r>
        <w:rPr>
          <w:b/>
          <w:i/>
          <w:iCs/>
          <w:sz w:val="28"/>
          <w:szCs w:val="28"/>
        </w:rPr>
        <w:t>Notes and Question</w:t>
      </w:r>
      <w:r w:rsidRPr="00391D44">
        <w:rPr>
          <w:b/>
          <w:i/>
          <w:iCs/>
          <w:sz w:val="28"/>
          <w:szCs w:val="28"/>
        </w:rPr>
        <w:t>s</w:t>
      </w:r>
    </w:p>
    <w:p w14:paraId="033F8E59" w14:textId="77777777" w:rsidR="0070589C" w:rsidRDefault="0070589C" w:rsidP="0070589C">
      <w:pPr>
        <w:pStyle w:val="BodyText"/>
        <w:jc w:val="both"/>
        <w:rPr>
          <w:bCs/>
        </w:rPr>
      </w:pPr>
    </w:p>
    <w:p w14:paraId="3844A282" w14:textId="77777777" w:rsidR="0070589C" w:rsidRDefault="0070589C" w:rsidP="0070589C">
      <w:pPr>
        <w:pStyle w:val="BodyText"/>
        <w:ind w:right="540" w:firstLine="720"/>
        <w:jc w:val="both"/>
        <w:rPr>
          <w:bCs/>
        </w:rPr>
      </w:pPr>
      <w:r w:rsidRPr="00973A30">
        <w:rPr>
          <w:b/>
        </w:rPr>
        <w:t>1.  Effective collaboration?</w:t>
      </w:r>
      <w:r>
        <w:rPr>
          <w:b/>
        </w:rPr>
        <w:t xml:space="preserve">  </w:t>
      </w:r>
      <w:r w:rsidRPr="00973A30">
        <w:rPr>
          <w:bCs/>
        </w:rPr>
        <w:t>First,</w:t>
      </w:r>
      <w:r>
        <w:rPr>
          <w:b/>
        </w:rPr>
        <w:t xml:space="preserve"> </w:t>
      </w:r>
      <w:r>
        <w:rPr>
          <w:bCs/>
        </w:rPr>
        <w:t xml:space="preserve">this note asks the students to consider the power </w:t>
      </w:r>
      <w:r>
        <w:rPr>
          <w:bCs/>
        </w:rPr>
        <w:lastRenderedPageBreak/>
        <w:t xml:space="preserve">dynamics between various partners of a collaborative effort.  </w:t>
      </w:r>
      <w:r w:rsidRPr="004938FE">
        <w:rPr>
          <w:bCs/>
        </w:rPr>
        <w:t xml:space="preserve">Collaborative processes oriented towards consensus can be problematic, particularly if one adheres to the view that the interests of the regulators become strongly aligned with the interests of the regulated community over time. </w:t>
      </w:r>
      <w:r>
        <w:rPr>
          <w:bCs/>
        </w:rPr>
        <w:t xml:space="preserve"> </w:t>
      </w:r>
      <w:r w:rsidRPr="004938FE">
        <w:rPr>
          <w:bCs/>
        </w:rPr>
        <w:t xml:space="preserve">When members of community groups are significantly outnumbered by members of the regulated community and (usually sub-federal) governmental stakeholders, then a process oriented towards consensus is unlikely to adequately address community concerns. </w:t>
      </w:r>
      <w:r>
        <w:rPr>
          <w:bCs/>
        </w:rPr>
        <w:t xml:space="preserve"> </w:t>
      </w:r>
      <w:r w:rsidRPr="004938FE">
        <w:rPr>
          <w:bCs/>
        </w:rPr>
        <w:t>Likewise, when the issues involve fundamental conflicts in values, a consensus also is unlikely to emerge from that process.</w:t>
      </w:r>
      <w:r>
        <w:rPr>
          <w:bCs/>
        </w:rPr>
        <w:t xml:space="preserve">  How would the students “level the playing field” to ensure true collaboration between regulators, developers and advocates?  The students could critique the components “critical to successful collaborative partnerships” included in this note.  Second, the note turns to the question of “collateral” or simultaneous litigation (advocate versus developer) pending a collaborative process.  Would the students allow this collateral litigation as part of their conflict resolution methods?  </w:t>
      </w:r>
      <w:r w:rsidRPr="004938FE">
        <w:rPr>
          <w:bCs/>
        </w:rPr>
        <w:t xml:space="preserve">One potential </w:t>
      </w:r>
      <w:r>
        <w:rPr>
          <w:bCs/>
        </w:rPr>
        <w:t>benefit</w:t>
      </w:r>
      <w:r w:rsidRPr="004938FE">
        <w:rPr>
          <w:bCs/>
        </w:rPr>
        <w:t xml:space="preserve"> of a collaborative process, if done right, is that it builds relationships and trust among the stakeholders that outliv</w:t>
      </w:r>
      <w:r>
        <w:rPr>
          <w:bCs/>
        </w:rPr>
        <w:t>e</w:t>
      </w:r>
      <w:r w:rsidRPr="004938FE">
        <w:rPr>
          <w:bCs/>
        </w:rPr>
        <w:t xml:space="preserve"> the particular concerns at issue. This might be</w:t>
      </w:r>
      <w:r>
        <w:rPr>
          <w:bCs/>
        </w:rPr>
        <w:t xml:space="preserve"> </w:t>
      </w:r>
      <w:r w:rsidRPr="004938FE">
        <w:rPr>
          <w:bCs/>
        </w:rPr>
        <w:t xml:space="preserve">particularly important in areas impacted by a variety of polluting sources where mitigation efforts might be extraordinarily difficult. </w:t>
      </w:r>
      <w:r>
        <w:rPr>
          <w:bCs/>
        </w:rPr>
        <w:t xml:space="preserve"> </w:t>
      </w:r>
      <w:r w:rsidRPr="004938FE">
        <w:rPr>
          <w:bCs/>
        </w:rPr>
        <w:t>Relationships built through a collaborative process can also lead to earlier resolution of new issues as they arise.</w:t>
      </w:r>
      <w:r>
        <w:rPr>
          <w:bCs/>
        </w:rPr>
        <w:t xml:space="preserve">  This of course, all depends on the actors in question, but that is a question for the students to discuss.  </w:t>
      </w:r>
    </w:p>
    <w:p w14:paraId="3C1B1538" w14:textId="77777777" w:rsidR="0070589C" w:rsidRDefault="0070589C" w:rsidP="0070589C">
      <w:pPr>
        <w:pStyle w:val="BodyText"/>
        <w:jc w:val="both"/>
        <w:rPr>
          <w:bCs/>
        </w:rPr>
      </w:pPr>
    </w:p>
    <w:p w14:paraId="7609D477" w14:textId="77777777" w:rsidR="0070589C" w:rsidRDefault="0070589C" w:rsidP="0070589C">
      <w:pPr>
        <w:pStyle w:val="BodyText"/>
        <w:ind w:right="540" w:firstLine="720"/>
        <w:jc w:val="both"/>
        <w:rPr>
          <w:b/>
        </w:rPr>
      </w:pPr>
      <w:r w:rsidRPr="001F2D9E">
        <w:rPr>
          <w:b/>
        </w:rPr>
        <w:t>2.  A note of caution.</w:t>
      </w:r>
      <w:r>
        <w:rPr>
          <w:b/>
        </w:rPr>
        <w:t xml:space="preserve">  </w:t>
      </w:r>
      <w:r>
        <w:rPr>
          <w:bCs/>
        </w:rPr>
        <w:t xml:space="preserve">This note’s example of the Conservation Alliance’s collaborative process to establish the Greater Black Hills Wildlife Protection Area provides a cautionary tale and illustrates the importance of what Professor John LaVelle identifies as the urgent “need for enduring and honest dialogue” to acknowledge present and ongoing injustice to the Great Sioux Nation.  Can students tease out why this is important in a collaborative process, as opposed to considering those injustices as “simply a doleful moment in a broader discussion about the past?”     </w:t>
      </w:r>
      <w:r w:rsidRPr="001F2D9E">
        <w:rPr>
          <w:b/>
        </w:rPr>
        <w:t xml:space="preserve">  </w:t>
      </w:r>
    </w:p>
    <w:p w14:paraId="7228D23D" w14:textId="77777777" w:rsidR="0070589C" w:rsidRDefault="0070589C" w:rsidP="0070589C">
      <w:pPr>
        <w:pStyle w:val="BodyText"/>
        <w:jc w:val="both"/>
        <w:rPr>
          <w:b/>
        </w:rPr>
      </w:pPr>
    </w:p>
    <w:p w14:paraId="2316557D" w14:textId="77777777" w:rsidR="0070589C" w:rsidRPr="00034365" w:rsidRDefault="0070589C" w:rsidP="0070589C">
      <w:pPr>
        <w:pStyle w:val="BodyText"/>
        <w:ind w:right="540" w:firstLine="720"/>
        <w:jc w:val="both"/>
        <w:rPr>
          <w:bCs/>
        </w:rPr>
      </w:pPr>
      <w:r>
        <w:rPr>
          <w:b/>
        </w:rPr>
        <w:t xml:space="preserve">3.  Another note of caution.  </w:t>
      </w:r>
      <w:r>
        <w:rPr>
          <w:bCs/>
        </w:rPr>
        <w:t>Similarly, in this note, Professor Foster details the potential bias that may be inherent in consensus processes which “at their most benign replicate the status quo.”  As a final hypothetical for the chapter, students could design their own collaborative process, geared specifically towards addressing the cautions from Professors LaVelle and Foster.</w:t>
      </w:r>
    </w:p>
    <w:p w14:paraId="2ADA6278" w14:textId="77777777" w:rsidR="0070589C" w:rsidRPr="00920308" w:rsidRDefault="0070589C" w:rsidP="0070589C">
      <w:pPr>
        <w:pStyle w:val="BodyText"/>
        <w:jc w:val="both"/>
      </w:pPr>
    </w:p>
    <w:p w14:paraId="17006911" w14:textId="77777777" w:rsidR="0070589C" w:rsidRDefault="0070589C" w:rsidP="0070589C">
      <w:pPr>
        <w:pStyle w:val="BodyText"/>
        <w:kinsoku w:val="0"/>
        <w:overflowPunct w:val="0"/>
        <w:ind w:right="897"/>
        <w:jc w:val="both"/>
      </w:pPr>
    </w:p>
    <w:p w14:paraId="05CB71FE" w14:textId="77777777" w:rsidR="0070589C" w:rsidRDefault="0070589C" w:rsidP="0070589C">
      <w:pPr>
        <w:widowControl/>
        <w:autoSpaceDE/>
        <w:autoSpaceDN/>
        <w:adjustRightInd/>
        <w:spacing w:after="160" w:line="259" w:lineRule="auto"/>
        <w:rPr>
          <w:sz w:val="24"/>
          <w:szCs w:val="24"/>
        </w:rPr>
      </w:pPr>
      <w:r>
        <w:br w:type="page"/>
      </w:r>
    </w:p>
    <w:p w14:paraId="68E0D551" w14:textId="77777777" w:rsidR="0070589C" w:rsidRPr="00276413" w:rsidRDefault="0070589C" w:rsidP="0070589C">
      <w:pPr>
        <w:pStyle w:val="Heading2"/>
        <w:rPr>
          <w:rFonts w:ascii="Times New Roman" w:hAnsi="Times New Roman" w:cs="Times New Roman"/>
          <w:b/>
          <w:bCs/>
          <w:color w:val="auto"/>
          <w:sz w:val="32"/>
          <w:szCs w:val="32"/>
        </w:rPr>
      </w:pPr>
      <w:r w:rsidRPr="00276413">
        <w:rPr>
          <w:rFonts w:ascii="Times New Roman" w:hAnsi="Times New Roman" w:cs="Times New Roman"/>
          <w:b/>
          <w:bCs/>
          <w:color w:val="auto"/>
          <w:sz w:val="32"/>
          <w:szCs w:val="32"/>
        </w:rPr>
        <w:lastRenderedPageBreak/>
        <w:t>Chapter 11</w:t>
      </w:r>
    </w:p>
    <w:p w14:paraId="14647F89" w14:textId="77777777" w:rsidR="0070589C" w:rsidRPr="00C73007" w:rsidRDefault="0070589C" w:rsidP="0070589C">
      <w:pPr>
        <w:pStyle w:val="BodyText"/>
        <w:rPr>
          <w:b/>
          <w:sz w:val="32"/>
          <w:szCs w:val="32"/>
        </w:rPr>
      </w:pPr>
    </w:p>
    <w:p w14:paraId="6E7D6EF4" w14:textId="77777777" w:rsidR="0070589C" w:rsidRPr="00C73007" w:rsidRDefault="0070589C" w:rsidP="0070589C">
      <w:pPr>
        <w:pStyle w:val="BodyText"/>
        <w:rPr>
          <w:b/>
          <w:sz w:val="32"/>
          <w:szCs w:val="32"/>
        </w:rPr>
      </w:pPr>
      <w:r>
        <w:rPr>
          <w:b/>
          <w:sz w:val="32"/>
          <w:szCs w:val="32"/>
        </w:rPr>
        <w:t>Land-Use Planning</w:t>
      </w:r>
    </w:p>
    <w:p w14:paraId="5D166BB8" w14:textId="77777777" w:rsidR="0070589C" w:rsidRDefault="0070589C" w:rsidP="0070589C">
      <w:pPr>
        <w:pStyle w:val="BodyText"/>
        <w:tabs>
          <w:tab w:val="left" w:pos="3013"/>
        </w:tabs>
      </w:pPr>
    </w:p>
    <w:p w14:paraId="402F4D08" w14:textId="77777777" w:rsidR="0070589C" w:rsidRPr="00125076" w:rsidRDefault="0070589C" w:rsidP="0070589C">
      <w:pPr>
        <w:pStyle w:val="BodyText"/>
        <w:ind w:firstLine="720"/>
        <w:rPr>
          <w:b/>
        </w:rPr>
      </w:pPr>
      <w:r w:rsidRPr="00125076">
        <w:rPr>
          <w:b/>
        </w:rPr>
        <w:t>A.  Introduction</w:t>
      </w:r>
    </w:p>
    <w:p w14:paraId="71AB07EA" w14:textId="77777777" w:rsidR="0070589C" w:rsidRDefault="0070589C" w:rsidP="0070589C">
      <w:pPr>
        <w:pStyle w:val="BodyText"/>
      </w:pPr>
      <w:r>
        <w:tab/>
      </w:r>
    </w:p>
    <w:p w14:paraId="495B9E4F" w14:textId="77777777" w:rsidR="0070589C" w:rsidRDefault="0070589C" w:rsidP="0070589C">
      <w:pPr>
        <w:pStyle w:val="BodyText"/>
        <w:ind w:right="540"/>
        <w:jc w:val="both"/>
        <w:rPr>
          <w:bCs/>
        </w:rPr>
      </w:pPr>
      <w:r>
        <w:rPr>
          <w:bCs/>
        </w:rPr>
        <w:tab/>
        <w:t xml:space="preserve">This chapter examines proactive approaches to tackle environmental injustice at the local level.  The first excerpt, from an article by Professor Craig Anthony Arnold, provides a brief primer on land use planning, regulation, and overlaps with environmental justice.  The chapter then attempts to tease out what Professor Arnold calls “the crux of land use for environmental justice” by including a case study on Arvin, in the Central Valley of California, which took on the oil industry and passed the region’s first ordinance to impose setbacks and prohibited zones for oil and gas extraction.  Finally, the chapter concludes with Professor Emily Bergeron’s article that summarizes how select cities have utilized local planning ordinances to further environmental justice. </w:t>
      </w:r>
    </w:p>
    <w:p w14:paraId="5AD511BE" w14:textId="77777777" w:rsidR="0070589C" w:rsidRDefault="0070589C" w:rsidP="0070589C">
      <w:pPr>
        <w:pStyle w:val="BodyText"/>
        <w:rPr>
          <w:bCs/>
        </w:rPr>
      </w:pPr>
    </w:p>
    <w:p w14:paraId="3B168615" w14:textId="77777777" w:rsidR="0070589C" w:rsidRPr="00F548AE" w:rsidRDefault="0070589C" w:rsidP="0070589C">
      <w:pPr>
        <w:pStyle w:val="BodyText"/>
        <w:jc w:val="center"/>
        <w:rPr>
          <w:b/>
        </w:rPr>
      </w:pPr>
      <w:r>
        <w:rPr>
          <w:b/>
        </w:rPr>
        <w:t>Role-Play: Return</w:t>
      </w:r>
      <w:r w:rsidRPr="00F548AE">
        <w:rPr>
          <w:b/>
        </w:rPr>
        <w:t xml:space="preserve"> to the Theories of Justice</w:t>
      </w:r>
    </w:p>
    <w:p w14:paraId="6A22A838" w14:textId="77777777" w:rsidR="0070589C" w:rsidRDefault="0070589C" w:rsidP="0070589C">
      <w:pPr>
        <w:pStyle w:val="BodyText"/>
        <w:rPr>
          <w:bCs/>
        </w:rPr>
      </w:pPr>
      <w:r>
        <w:rPr>
          <w:bCs/>
        </w:rPr>
        <w:tab/>
      </w:r>
    </w:p>
    <w:p w14:paraId="4E9C6F51" w14:textId="77777777" w:rsidR="0070589C" w:rsidRDefault="0070589C" w:rsidP="0070589C">
      <w:pPr>
        <w:pStyle w:val="BodyText"/>
        <w:ind w:right="540"/>
        <w:jc w:val="both"/>
        <w:rPr>
          <w:bCs/>
        </w:rPr>
      </w:pPr>
      <w:r>
        <w:rPr>
          <w:bCs/>
        </w:rPr>
        <w:tab/>
        <w:t xml:space="preserve">Before students discuss this short chapter, it may be worthwhile to revisit the theories of justice and have the students consider a hypothetical where they are drafting up a land use plan for a particular environmental justice community in your county or state.  Assume the county or state has to plan for the location of increased industrial activity; where would students site such facilities?  This will allow students to form a utopian baseline from which to compare the various approaches discussed in the chapter, and then confront potential barriers such as non-conforming uses and the legal issues discussed by the California Attorney General in the case of Arvin’s oil and gas ordinance.    </w:t>
      </w:r>
    </w:p>
    <w:p w14:paraId="626763BF" w14:textId="77777777" w:rsidR="0070589C" w:rsidRDefault="0070589C" w:rsidP="0070589C">
      <w:pPr>
        <w:pStyle w:val="BodyText"/>
        <w:rPr>
          <w:bCs/>
        </w:rPr>
      </w:pPr>
    </w:p>
    <w:p w14:paraId="336A70C0" w14:textId="77777777" w:rsidR="0070589C" w:rsidRPr="00125076" w:rsidRDefault="0070589C" w:rsidP="0070589C">
      <w:pPr>
        <w:pStyle w:val="BodyText"/>
        <w:ind w:firstLine="720"/>
        <w:rPr>
          <w:b/>
        </w:rPr>
      </w:pPr>
      <w:r w:rsidRPr="00125076">
        <w:rPr>
          <w:b/>
        </w:rPr>
        <w:t>B.  Planning and Zoning Changes</w:t>
      </w:r>
    </w:p>
    <w:p w14:paraId="157451D7" w14:textId="77777777" w:rsidR="0070589C" w:rsidRDefault="0070589C" w:rsidP="0070589C">
      <w:pPr>
        <w:pStyle w:val="BodyText"/>
        <w:rPr>
          <w:b/>
        </w:rPr>
      </w:pPr>
    </w:p>
    <w:p w14:paraId="2A7461A6" w14:textId="77777777" w:rsidR="0070589C" w:rsidRPr="00112CCE" w:rsidRDefault="0070589C" w:rsidP="0070589C">
      <w:pPr>
        <w:pStyle w:val="BodyText"/>
        <w:ind w:right="540"/>
        <w:jc w:val="both"/>
        <w:rPr>
          <w:bCs/>
        </w:rPr>
      </w:pPr>
      <w:r>
        <w:rPr>
          <w:b/>
        </w:rPr>
        <w:tab/>
      </w:r>
      <w:r>
        <w:rPr>
          <w:bCs/>
        </w:rPr>
        <w:t xml:space="preserve">In the excerpt from </w:t>
      </w:r>
      <w:r w:rsidRPr="00D67ED2">
        <w:rPr>
          <w:bCs/>
          <w:i/>
          <w:iCs/>
        </w:rPr>
        <w:t>Planning Milagros: Environmental Justice and Land Use Regulation</w:t>
      </w:r>
      <w:r>
        <w:rPr>
          <w:bCs/>
        </w:rPr>
        <w:t xml:space="preserve">, </w:t>
      </w:r>
      <w:r w:rsidRPr="00112CCE">
        <w:rPr>
          <w:bCs/>
        </w:rPr>
        <w:t>Professor Arnold</w:t>
      </w:r>
      <w:r>
        <w:rPr>
          <w:bCs/>
        </w:rPr>
        <w:t xml:space="preserve"> examines various land use mechanisms to address environmental justice, including comprehensive plans, zoning amendments, and exactions.  Professor Arnold then provides a summary of the limits of such ordinances as tools to achieve environmental justice.  </w:t>
      </w:r>
      <w:r w:rsidRPr="00112CCE">
        <w:rPr>
          <w:bCs/>
        </w:rPr>
        <w:t xml:space="preserve"> </w:t>
      </w:r>
    </w:p>
    <w:p w14:paraId="4DD2EE27" w14:textId="77777777" w:rsidR="0070589C" w:rsidRDefault="0070589C" w:rsidP="0070589C">
      <w:pPr>
        <w:pStyle w:val="BodyText"/>
        <w:rPr>
          <w:b/>
        </w:rPr>
      </w:pPr>
    </w:p>
    <w:p w14:paraId="300727A2" w14:textId="77777777" w:rsidR="0070589C" w:rsidRPr="00EE7F3F" w:rsidRDefault="0070589C" w:rsidP="0070589C">
      <w:pPr>
        <w:pStyle w:val="BodyText"/>
        <w:jc w:val="center"/>
        <w:rPr>
          <w:bCs/>
        </w:rPr>
      </w:pPr>
      <w:r w:rsidRPr="00BF4138">
        <w:rPr>
          <w:b/>
          <w:i/>
          <w:iCs/>
          <w:sz w:val="28"/>
          <w:szCs w:val="28"/>
        </w:rPr>
        <w:t>Notes and Questions</w:t>
      </w:r>
    </w:p>
    <w:p w14:paraId="1D88470C" w14:textId="77777777" w:rsidR="0070589C" w:rsidRPr="00067EA0" w:rsidRDefault="0070589C" w:rsidP="0070589C">
      <w:pPr>
        <w:pStyle w:val="BodyText"/>
        <w:rPr>
          <w:bCs/>
        </w:rPr>
      </w:pPr>
    </w:p>
    <w:p w14:paraId="101A5EFE" w14:textId="77777777" w:rsidR="0070589C" w:rsidRDefault="0070589C" w:rsidP="0070589C">
      <w:pPr>
        <w:pStyle w:val="BodyText"/>
        <w:ind w:right="540" w:firstLine="720"/>
        <w:jc w:val="both"/>
        <w:rPr>
          <w:bCs/>
        </w:rPr>
      </w:pPr>
      <w:r w:rsidRPr="00740159">
        <w:rPr>
          <w:b/>
        </w:rPr>
        <w:t>1.  Rezone or focus on nonconforming uses?</w:t>
      </w:r>
      <w:r>
        <w:rPr>
          <w:bCs/>
        </w:rPr>
        <w:t xml:space="preserve">  The first part of this note aims to put the students in a local public hearing where political and economic obstacles to environmental justice ordinances come to light.  A useful exercise may be to have students attend a local city council or planning department meeting where a LULU, or even better, rezoning, is considered.  The 2014 Chevron Modernization Project in Richmond, California generated significant publicity and this short video could help situate the students for discussion of this first note topic if they do not have time to attend a hearing in person: </w:t>
      </w:r>
      <w:hyperlink r:id="rId51" w:history="1">
        <w:r w:rsidRPr="00A61E7E">
          <w:rPr>
            <w:rStyle w:val="Hyperlink"/>
          </w:rPr>
          <w:t>https://abc7news.com/news/dueling-parties-debate-chevron-refinery-project-in-</w:t>
        </w:r>
        <w:r w:rsidRPr="00A61E7E">
          <w:rPr>
            <w:rStyle w:val="Hyperlink"/>
          </w:rPr>
          <w:lastRenderedPageBreak/>
          <w:t>richmond/172800/</w:t>
        </w:r>
      </w:hyperlink>
      <w:r>
        <w:rPr>
          <w:bCs/>
        </w:rPr>
        <w:t xml:space="preserve">.  The second part of this note asks students to consider the pros and cons of rezoning versus mechanisms to tackle non-conforming uses. Students could consider whether each method faces the same political and economic obstacles.  </w:t>
      </w:r>
    </w:p>
    <w:p w14:paraId="5EBB02A0" w14:textId="77777777" w:rsidR="0070589C" w:rsidRDefault="0070589C" w:rsidP="0070589C">
      <w:pPr>
        <w:pStyle w:val="BodyText"/>
        <w:jc w:val="both"/>
        <w:rPr>
          <w:bCs/>
        </w:rPr>
      </w:pPr>
    </w:p>
    <w:p w14:paraId="4760917C" w14:textId="77777777" w:rsidR="0070589C" w:rsidRDefault="0070589C" w:rsidP="0070589C">
      <w:pPr>
        <w:pStyle w:val="BodyText"/>
        <w:ind w:right="540" w:firstLine="720"/>
        <w:jc w:val="both"/>
        <w:rPr>
          <w:bCs/>
        </w:rPr>
      </w:pPr>
      <w:r w:rsidRPr="00740159">
        <w:rPr>
          <w:b/>
        </w:rPr>
        <w:t>2.  Disparate political power.</w:t>
      </w:r>
      <w:r>
        <w:rPr>
          <w:bCs/>
        </w:rPr>
        <w:t xml:space="preserve">  This note is self-explanatory and cues up the case study on Arvin that provides relatively recent examples of both political and legal resistance and how advocates and residents overcame those barriers.  To further Professor Kaswan’s discussion of disparate political power, students may benefit from skimming the Cerrell Report, which is available here: </w:t>
      </w:r>
      <w:hyperlink r:id="rId52" w:history="1">
        <w:r w:rsidRPr="00A61E7E">
          <w:rPr>
            <w:rStyle w:val="Hyperlink"/>
          </w:rPr>
          <w:t>https://www.ejnet.org/ej/cerrell.pdf</w:t>
        </w:r>
      </w:hyperlink>
      <w:r>
        <w:rPr>
          <w:bCs/>
        </w:rPr>
        <w:t>.</w:t>
      </w:r>
    </w:p>
    <w:p w14:paraId="5EBA2853" w14:textId="77777777" w:rsidR="0070589C" w:rsidRDefault="0070589C" w:rsidP="0070589C">
      <w:pPr>
        <w:pStyle w:val="BodyText"/>
        <w:ind w:firstLine="720"/>
        <w:jc w:val="both"/>
        <w:rPr>
          <w:bCs/>
        </w:rPr>
      </w:pPr>
      <w:r>
        <w:rPr>
          <w:bCs/>
        </w:rPr>
        <w:t xml:space="preserve">     </w:t>
      </w:r>
    </w:p>
    <w:p w14:paraId="26A9CFAC" w14:textId="77777777" w:rsidR="0070589C" w:rsidRDefault="0070589C" w:rsidP="0070589C">
      <w:pPr>
        <w:pStyle w:val="BodyText"/>
        <w:ind w:right="540"/>
        <w:jc w:val="both"/>
        <w:rPr>
          <w:bCs/>
        </w:rPr>
      </w:pPr>
      <w:r>
        <w:rPr>
          <w:bCs/>
        </w:rPr>
        <w:tab/>
        <w:t xml:space="preserve">The </w:t>
      </w:r>
      <w:r w:rsidRPr="00AD7C06">
        <w:rPr>
          <w:bCs/>
          <w:i/>
          <w:iCs/>
        </w:rPr>
        <w:t>Letter from California Attorney General, Xavier Becerra</w:t>
      </w:r>
      <w:r>
        <w:rPr>
          <w:bCs/>
        </w:rPr>
        <w:t xml:space="preserve"> depicts a distinct political backdrop, where a majority of members of the City Council and their staff adamantly opposed the degree of a certain industrial activity, but local industry challenged the local jurisdiction’s land use regulation as unreasonable, outside of the local jurisdiction’s authority, or even preempted by state law.  The Attorney General’s letter provides a primer on how such claims are unwarranted, at least in California, as land use regulation is “a function of local government.”  Revisiting Professors Arnold and Kaswan’s articles, students could put themselves in the shoes of the Arvin City Attorney in the Council chambers with public testimony coming from both sides for and against the ordinance, and who was evidently aware of this established precedent, but still required the “official” opinion of the Attorney General to overcome “political and legal resistance.” </w:t>
      </w:r>
    </w:p>
    <w:p w14:paraId="5B90B2F4" w14:textId="77777777" w:rsidR="0070589C" w:rsidRDefault="0070589C" w:rsidP="0070589C">
      <w:pPr>
        <w:pStyle w:val="BodyText"/>
        <w:rPr>
          <w:bCs/>
        </w:rPr>
      </w:pPr>
    </w:p>
    <w:p w14:paraId="592E20B1" w14:textId="77777777" w:rsidR="0070589C" w:rsidRPr="00EE7F3F" w:rsidRDefault="0070589C" w:rsidP="0070589C">
      <w:pPr>
        <w:pStyle w:val="BodyText"/>
        <w:jc w:val="center"/>
        <w:rPr>
          <w:bCs/>
        </w:rPr>
      </w:pPr>
      <w:r w:rsidRPr="00BF4138">
        <w:rPr>
          <w:b/>
          <w:i/>
          <w:iCs/>
          <w:sz w:val="28"/>
          <w:szCs w:val="28"/>
        </w:rPr>
        <w:t>Notes and Questions</w:t>
      </w:r>
    </w:p>
    <w:p w14:paraId="59A90F46" w14:textId="77777777" w:rsidR="0070589C" w:rsidRDefault="0070589C" w:rsidP="0070589C">
      <w:pPr>
        <w:pStyle w:val="BodyText"/>
        <w:rPr>
          <w:bCs/>
        </w:rPr>
      </w:pPr>
    </w:p>
    <w:p w14:paraId="45BBDCA0" w14:textId="77777777" w:rsidR="0070589C" w:rsidRPr="004704D2" w:rsidRDefault="0070589C" w:rsidP="0070589C">
      <w:pPr>
        <w:pStyle w:val="BodyText"/>
        <w:ind w:right="540" w:firstLine="720"/>
        <w:jc w:val="both"/>
        <w:rPr>
          <w:bCs/>
        </w:rPr>
      </w:pPr>
      <w:r w:rsidRPr="004704D2">
        <w:rPr>
          <w:b/>
        </w:rPr>
        <w:t>1.  Industry’s aggressive stance.</w:t>
      </w:r>
      <w:r>
        <w:rPr>
          <w:b/>
        </w:rPr>
        <w:t xml:space="preserve">  </w:t>
      </w:r>
      <w:r>
        <w:rPr>
          <w:bCs/>
        </w:rPr>
        <w:t xml:space="preserve">This note continues the chapter’s theme of the economic and political realities to imposing more protective local ordinances.  Lawyers from the Center on Race, Poverty &amp; the Environment not only brought this issue to the attention of the Attorney General, but also advocated for the department to take a stronger stance.  Students may consider whether Arvin could have banned all extraction operations, including existing operations, and if so, what additional evidence Arvin city staff could have produced to warrant such exercise of the city’s police power.    </w:t>
      </w:r>
    </w:p>
    <w:p w14:paraId="530BCB0D" w14:textId="77777777" w:rsidR="0070589C" w:rsidRDefault="0070589C" w:rsidP="0070589C">
      <w:pPr>
        <w:pStyle w:val="BodyText"/>
        <w:jc w:val="both"/>
        <w:rPr>
          <w:bCs/>
        </w:rPr>
      </w:pPr>
    </w:p>
    <w:p w14:paraId="0679A544" w14:textId="77777777" w:rsidR="0070589C" w:rsidRPr="00131B5B" w:rsidRDefault="0070589C" w:rsidP="0070589C">
      <w:pPr>
        <w:pStyle w:val="BodyText"/>
        <w:ind w:right="540"/>
        <w:jc w:val="both"/>
        <w:rPr>
          <w:bCs/>
        </w:rPr>
      </w:pPr>
      <w:r>
        <w:rPr>
          <w:bCs/>
        </w:rPr>
        <w:tab/>
      </w:r>
      <w:r w:rsidRPr="00635404">
        <w:rPr>
          <w:b/>
        </w:rPr>
        <w:t>2.  Community members in political office.</w:t>
      </w:r>
      <w:r>
        <w:rPr>
          <w:b/>
        </w:rPr>
        <w:t xml:space="preserve">  </w:t>
      </w:r>
      <w:r>
        <w:rPr>
          <w:bCs/>
        </w:rPr>
        <w:t xml:space="preserve">This note details the importance of (environmental justice) advocates in elected positions.  The article, </w:t>
      </w:r>
      <w:r w:rsidRPr="00131B5B">
        <w:rPr>
          <w:bCs/>
          <w:i/>
          <w:iCs/>
        </w:rPr>
        <w:t>Meet the Millennial Mayor Who Took On Big Oil—and Won</w:t>
      </w:r>
      <w:r>
        <w:rPr>
          <w:bCs/>
        </w:rPr>
        <w:t xml:space="preserve"> provides a more detailed account of the makeup of Arvin’s City Council, and in particular, their young mayor Jose Gurrola, and is available here: </w:t>
      </w:r>
      <w:hyperlink r:id="rId53" w:history="1">
        <w:r w:rsidRPr="00A61E7E">
          <w:rPr>
            <w:rStyle w:val="Hyperlink"/>
          </w:rPr>
          <w:t>https://www.thenation.com/article/archive/arvin-california-oil-drilling-resistance/</w:t>
        </w:r>
      </w:hyperlink>
      <w:r>
        <w:rPr>
          <w:bCs/>
        </w:rPr>
        <w:t xml:space="preserve">.  Students could also take a moment to reflect on the Black Lives Matter movement, or other movements for racial justice and discuss the importance, or not, of affected residents in political office.  How could this approach complement the current call to defund the police?    </w:t>
      </w:r>
      <w:r w:rsidRPr="00635404">
        <w:rPr>
          <w:b/>
        </w:rPr>
        <w:t xml:space="preserve"> </w:t>
      </w:r>
    </w:p>
    <w:p w14:paraId="03C5D8A1" w14:textId="77777777" w:rsidR="0070589C" w:rsidRPr="00067EA0" w:rsidRDefault="0070589C" w:rsidP="0070589C">
      <w:pPr>
        <w:pStyle w:val="BodyText"/>
        <w:jc w:val="both"/>
        <w:rPr>
          <w:bCs/>
        </w:rPr>
      </w:pPr>
    </w:p>
    <w:p w14:paraId="5814516F" w14:textId="77777777" w:rsidR="0070589C" w:rsidRPr="00EA0D28" w:rsidRDefault="0070589C" w:rsidP="0070589C">
      <w:pPr>
        <w:pStyle w:val="BodyText"/>
        <w:ind w:right="540" w:firstLine="720"/>
        <w:jc w:val="both"/>
        <w:rPr>
          <w:bCs/>
        </w:rPr>
      </w:pPr>
      <w:r w:rsidRPr="00304455">
        <w:rPr>
          <w:b/>
        </w:rPr>
        <w:t>3.  Vested right to pollute?</w:t>
      </w:r>
      <w:r>
        <w:rPr>
          <w:b/>
        </w:rPr>
        <w:t xml:space="preserve">  </w:t>
      </w:r>
      <w:r>
        <w:rPr>
          <w:bCs/>
        </w:rPr>
        <w:t xml:space="preserve">Students have likely explored takings in their constitutional law classes, but this note reminds students of the effect of this legal doctrine in the environmental justice context.  Certain polluting facilities in marginalized communities may have been permitted long before “adequate” evidence existed as to their harms on those communities.  Nevertheless, the precedent of “no vested right to pollute” </w:t>
      </w:r>
      <w:r>
        <w:rPr>
          <w:bCs/>
        </w:rPr>
        <w:lastRenderedPageBreak/>
        <w:t xml:space="preserve">again pivots the students’ attention to the important theme of this chapter, the political nature of local land-use regulation, and as was the case in Arvin, threats of litigation on local jurisdictions.  </w:t>
      </w:r>
    </w:p>
    <w:p w14:paraId="1E84EAF7" w14:textId="77777777" w:rsidR="0070589C" w:rsidRDefault="0070589C" w:rsidP="0070589C">
      <w:pPr>
        <w:pStyle w:val="BodyText"/>
        <w:jc w:val="both"/>
        <w:rPr>
          <w:bCs/>
        </w:rPr>
      </w:pPr>
    </w:p>
    <w:p w14:paraId="6C36BED3" w14:textId="77777777" w:rsidR="0070589C" w:rsidRDefault="0070589C" w:rsidP="0070589C">
      <w:pPr>
        <w:pStyle w:val="BodyText"/>
        <w:ind w:right="540"/>
        <w:jc w:val="both"/>
        <w:rPr>
          <w:bCs/>
        </w:rPr>
      </w:pPr>
      <w:r>
        <w:rPr>
          <w:bCs/>
        </w:rPr>
        <w:tab/>
      </w:r>
      <w:r w:rsidRPr="00C25D35">
        <w:rPr>
          <w:b/>
        </w:rPr>
        <w:t>4.  Principles for equitable planning.</w:t>
      </w:r>
      <w:r>
        <w:rPr>
          <w:b/>
        </w:rPr>
        <w:t xml:space="preserve">  </w:t>
      </w:r>
      <w:r>
        <w:rPr>
          <w:bCs/>
        </w:rPr>
        <w:t xml:space="preserve">Before moving on to how other cities have adopted equitable planning ordinances, students could pause and see if they can craft a similar set of equitable planning principles to those of Professor Arnold.  Students could also consider whether and how “environmental justice audits” can overcome the political and power barriers highlighted by Professor Kaswan.  </w:t>
      </w:r>
    </w:p>
    <w:p w14:paraId="0B438E3B" w14:textId="77777777" w:rsidR="0070589C" w:rsidRDefault="0070589C" w:rsidP="0070589C">
      <w:pPr>
        <w:pStyle w:val="BodyText"/>
        <w:jc w:val="both"/>
        <w:rPr>
          <w:bCs/>
        </w:rPr>
      </w:pPr>
    </w:p>
    <w:p w14:paraId="39B41E5D" w14:textId="77777777" w:rsidR="0070589C" w:rsidRDefault="0070589C" w:rsidP="0070589C">
      <w:pPr>
        <w:pStyle w:val="BodyText"/>
        <w:ind w:right="540"/>
        <w:jc w:val="both"/>
        <w:rPr>
          <w:bCs/>
        </w:rPr>
      </w:pPr>
      <w:r>
        <w:rPr>
          <w:bCs/>
        </w:rPr>
        <w:tab/>
        <w:t xml:space="preserve">The final excerpt in this chapter, Professor Emily Bergeron’s </w:t>
      </w:r>
      <w:r w:rsidRPr="008103B7">
        <w:rPr>
          <w:bCs/>
          <w:i/>
          <w:iCs/>
        </w:rPr>
        <w:t>Local Justice: How Cities Can Protect and Promote Environmental Justice in a Hostile Environment</w:t>
      </w:r>
      <w:r>
        <w:rPr>
          <w:bCs/>
        </w:rPr>
        <w:t xml:space="preserve">, provides a national overview of how certain cities have addressed environmental justice through local land-use planning and zoning ordinances or other means.  She begins with a discussion of Cincinnati, the first city in the country to enact an environmental justice ordinance (which is revisited in the notes and questions).  She also details efforts in Los Angeles, including its “Clean Up Green Up” ordinance and the Environmental Justice and Protection Unit of the Los Angeles City Attorney’s Office.  Professor Bergeron also provides an example of a proposed environmental justice ordinance in New Bedford, Massachusetts that was defeated and labeled a “job killer.”  How do students react to this label, especially given efforts to pass a Green New Deal?  </w:t>
      </w:r>
    </w:p>
    <w:p w14:paraId="4DFDA0B7" w14:textId="77777777" w:rsidR="0070589C" w:rsidRDefault="0070589C" w:rsidP="0070589C">
      <w:pPr>
        <w:pStyle w:val="BodyText"/>
        <w:jc w:val="both"/>
        <w:rPr>
          <w:bCs/>
        </w:rPr>
      </w:pPr>
    </w:p>
    <w:p w14:paraId="160B5889" w14:textId="77777777" w:rsidR="0070589C" w:rsidRPr="00EE7F3F" w:rsidRDefault="0070589C" w:rsidP="0070589C">
      <w:pPr>
        <w:pStyle w:val="BodyText"/>
        <w:jc w:val="center"/>
        <w:rPr>
          <w:bCs/>
        </w:rPr>
      </w:pPr>
      <w:r w:rsidRPr="00BF4138">
        <w:rPr>
          <w:b/>
          <w:i/>
          <w:iCs/>
          <w:sz w:val="28"/>
          <w:szCs w:val="28"/>
        </w:rPr>
        <w:t>Notes and Questions</w:t>
      </w:r>
    </w:p>
    <w:p w14:paraId="4C504142" w14:textId="77777777" w:rsidR="0070589C" w:rsidRDefault="0070589C" w:rsidP="0070589C">
      <w:pPr>
        <w:pStyle w:val="BodyText"/>
        <w:jc w:val="both"/>
        <w:rPr>
          <w:bCs/>
        </w:rPr>
      </w:pPr>
      <w:r>
        <w:rPr>
          <w:bCs/>
        </w:rPr>
        <w:tab/>
      </w:r>
    </w:p>
    <w:p w14:paraId="3DE45160" w14:textId="77777777" w:rsidR="0070589C" w:rsidRDefault="0070589C" w:rsidP="0070589C">
      <w:pPr>
        <w:pStyle w:val="BodyText"/>
        <w:ind w:right="540" w:firstLine="720"/>
        <w:jc w:val="both"/>
        <w:rPr>
          <w:bCs/>
        </w:rPr>
      </w:pPr>
      <w:r w:rsidRPr="00E70140">
        <w:rPr>
          <w:b/>
        </w:rPr>
        <w:t>1.  Evaluate these measures.</w:t>
      </w:r>
      <w:r>
        <w:rPr>
          <w:b/>
        </w:rPr>
        <w:t xml:space="preserve">  </w:t>
      </w:r>
      <w:r>
        <w:rPr>
          <w:bCs/>
        </w:rPr>
        <w:t xml:space="preserve">This note invites students to evaluate the various approaches taken by cities detailed in Professor Bergeron’s excerpt.  Students could compare the consideration of “soft criteria” in permitting decisions, socioeconomic factors, at both the local and federal levels.  How does the concept of local “police power” to regulate the health, safety and welfare of a local jurisdiction’s residents tie in with Professor Foster’s identification of the lack of statutory guidance for the weight that local decision-makers should accord such “soft” factors?  Do the students’ responses highlight the political barriers discussed in this chapter? </w:t>
      </w:r>
    </w:p>
    <w:p w14:paraId="7B12A5E4" w14:textId="77777777" w:rsidR="0070589C" w:rsidRDefault="0070589C" w:rsidP="0070589C">
      <w:pPr>
        <w:pStyle w:val="BodyText"/>
        <w:ind w:firstLine="720"/>
        <w:jc w:val="both"/>
        <w:rPr>
          <w:bCs/>
        </w:rPr>
      </w:pPr>
    </w:p>
    <w:p w14:paraId="157309C0" w14:textId="77777777" w:rsidR="0070589C" w:rsidRDefault="0070589C" w:rsidP="0070589C">
      <w:pPr>
        <w:pStyle w:val="BodyText"/>
        <w:ind w:right="540" w:firstLine="720"/>
        <w:jc w:val="both"/>
        <w:rPr>
          <w:bCs/>
        </w:rPr>
      </w:pPr>
      <w:r w:rsidRPr="00717F1B">
        <w:rPr>
          <w:b/>
        </w:rPr>
        <w:t>2.  CUGU.</w:t>
      </w:r>
      <w:r>
        <w:rPr>
          <w:b/>
        </w:rPr>
        <w:t xml:space="preserve">  </w:t>
      </w:r>
      <w:r>
        <w:rPr>
          <w:bCs/>
        </w:rPr>
        <w:t>This note is mostly self-explanatory, outlining the long-term commitment that may be required for local communities to overcome political barriers and establish more protective local ordinances.</w:t>
      </w:r>
    </w:p>
    <w:p w14:paraId="7949D035" w14:textId="77777777" w:rsidR="0070589C" w:rsidRDefault="0070589C" w:rsidP="0070589C">
      <w:pPr>
        <w:pStyle w:val="BodyText"/>
        <w:ind w:firstLine="720"/>
        <w:jc w:val="both"/>
        <w:rPr>
          <w:bCs/>
        </w:rPr>
      </w:pPr>
    </w:p>
    <w:p w14:paraId="1FC569B5" w14:textId="77777777" w:rsidR="0070589C" w:rsidRPr="00D305BB" w:rsidRDefault="0070589C" w:rsidP="0070589C">
      <w:pPr>
        <w:pStyle w:val="BodyText"/>
        <w:ind w:right="540" w:firstLine="720"/>
        <w:jc w:val="both"/>
        <w:rPr>
          <w:b/>
        </w:rPr>
      </w:pPr>
      <w:r w:rsidRPr="00D305BB">
        <w:rPr>
          <w:b/>
        </w:rPr>
        <w:t>3.  The need to address displacement.</w:t>
      </w:r>
      <w:r>
        <w:rPr>
          <w:b/>
        </w:rPr>
        <w:t xml:space="preserve">  </w:t>
      </w:r>
      <w:r>
        <w:rPr>
          <w:bCs/>
        </w:rPr>
        <w:t xml:space="preserve">This note provides one example of efforts to address displacement, a critical consideration today, and in particular where a community successfully establishes favorable local land-use ordinances.  California recently passed Assembly Bill 1482, the Tenant Protection Act of 2019, which defines “just cause” for eviction and prohibits a property owner from terminating a tenancy absent just cause.  Students could take a critical eye and discuss whether similar just cause statutes are sufficient to protect against displacement, referencing the criteria in this note’s summary of UNIDAD’s People’s Plan.        </w:t>
      </w:r>
      <w:r w:rsidRPr="00D305BB">
        <w:rPr>
          <w:b/>
        </w:rPr>
        <w:t xml:space="preserve">  </w:t>
      </w:r>
    </w:p>
    <w:p w14:paraId="73750052" w14:textId="77777777" w:rsidR="0070589C" w:rsidRPr="00717F1B" w:rsidRDefault="0070589C" w:rsidP="0070589C">
      <w:pPr>
        <w:pStyle w:val="BodyText"/>
        <w:rPr>
          <w:b/>
        </w:rPr>
      </w:pPr>
      <w:r w:rsidRPr="00717F1B">
        <w:rPr>
          <w:b/>
        </w:rPr>
        <w:t xml:space="preserve"> </w:t>
      </w:r>
    </w:p>
    <w:p w14:paraId="6A9A3323" w14:textId="77777777" w:rsidR="0070589C" w:rsidRPr="00276413" w:rsidRDefault="0070589C" w:rsidP="0070589C">
      <w:pPr>
        <w:pStyle w:val="Heading2"/>
        <w:rPr>
          <w:rFonts w:ascii="Times New Roman" w:hAnsi="Times New Roman" w:cs="Times New Roman"/>
          <w:b/>
          <w:bCs/>
          <w:color w:val="auto"/>
          <w:sz w:val="32"/>
          <w:szCs w:val="32"/>
        </w:rPr>
      </w:pPr>
      <w:r w:rsidRPr="00276413">
        <w:rPr>
          <w:rFonts w:ascii="Times New Roman" w:hAnsi="Times New Roman" w:cs="Times New Roman"/>
          <w:b/>
          <w:bCs/>
          <w:color w:val="auto"/>
          <w:sz w:val="32"/>
          <w:szCs w:val="32"/>
        </w:rPr>
        <w:lastRenderedPageBreak/>
        <w:t>Chapter 1</w:t>
      </w:r>
      <w:r>
        <w:rPr>
          <w:rFonts w:ascii="Times New Roman" w:hAnsi="Times New Roman" w:cs="Times New Roman"/>
          <w:b/>
          <w:bCs/>
          <w:color w:val="auto"/>
          <w:sz w:val="32"/>
          <w:szCs w:val="32"/>
        </w:rPr>
        <w:t>2</w:t>
      </w:r>
    </w:p>
    <w:p w14:paraId="38A8AE8A" w14:textId="77777777" w:rsidR="0070589C" w:rsidRDefault="0070589C" w:rsidP="0070589C">
      <w:pPr>
        <w:pStyle w:val="BodyText"/>
        <w:rPr>
          <w:b/>
          <w:sz w:val="32"/>
          <w:szCs w:val="32"/>
        </w:rPr>
      </w:pPr>
    </w:p>
    <w:p w14:paraId="3A3CC265" w14:textId="77777777" w:rsidR="0070589C" w:rsidRPr="00C73007" w:rsidRDefault="0070589C" w:rsidP="0070589C">
      <w:pPr>
        <w:pStyle w:val="BodyText"/>
        <w:rPr>
          <w:b/>
          <w:sz w:val="32"/>
          <w:szCs w:val="32"/>
        </w:rPr>
      </w:pPr>
      <w:r>
        <w:rPr>
          <w:b/>
          <w:sz w:val="32"/>
          <w:szCs w:val="32"/>
        </w:rPr>
        <w:t>Information Disclosure and Environmental Review</w:t>
      </w:r>
    </w:p>
    <w:p w14:paraId="47FA6380" w14:textId="77777777" w:rsidR="0070589C" w:rsidRDefault="0070589C" w:rsidP="0070589C">
      <w:pPr>
        <w:pStyle w:val="BodyText"/>
        <w:tabs>
          <w:tab w:val="left" w:pos="3013"/>
        </w:tabs>
      </w:pPr>
    </w:p>
    <w:p w14:paraId="6BC7F1ED" w14:textId="77777777" w:rsidR="0070589C" w:rsidRPr="00125076" w:rsidRDefault="0070589C" w:rsidP="0070589C">
      <w:pPr>
        <w:pStyle w:val="BodyText"/>
        <w:ind w:firstLine="720"/>
        <w:rPr>
          <w:b/>
        </w:rPr>
      </w:pPr>
      <w:r w:rsidRPr="00125076">
        <w:rPr>
          <w:b/>
        </w:rPr>
        <w:t>A.  Introduction</w:t>
      </w:r>
    </w:p>
    <w:p w14:paraId="7098F56D" w14:textId="77777777" w:rsidR="0070589C" w:rsidRDefault="0070589C" w:rsidP="0070589C">
      <w:pPr>
        <w:pStyle w:val="BodyText"/>
        <w:kinsoku w:val="0"/>
        <w:overflowPunct w:val="0"/>
        <w:ind w:right="897"/>
        <w:jc w:val="both"/>
      </w:pPr>
    </w:p>
    <w:p w14:paraId="370C38D4" w14:textId="77777777" w:rsidR="0070589C" w:rsidRDefault="0070589C" w:rsidP="0070589C">
      <w:pPr>
        <w:pStyle w:val="BodyText"/>
        <w:ind w:right="540" w:firstLine="720"/>
        <w:jc w:val="both"/>
      </w:pPr>
      <w:r w:rsidRPr="002A48B3">
        <w:rPr>
          <w:bCs/>
        </w:rPr>
        <w:t>I</w:t>
      </w:r>
      <w:r w:rsidRPr="00F337A9">
        <w:t xml:space="preserve">nformation generation, analysis, and disclosure </w:t>
      </w:r>
      <w:r>
        <w:t>is the</w:t>
      </w:r>
      <w:r w:rsidRPr="00F337A9">
        <w:t xml:space="preserve"> cornerstone of environmental law in the United States</w:t>
      </w:r>
      <w:r>
        <w:t xml:space="preserve">. For air and water pollution, government actors set standards via permits, and private actors self-report information to show their compliance with those standards. An alternative approach might be to have government actors responsible for monitoring compliance through sampling and inspection. This is a great class discussion—what are the advantages and disadvantages of each approach? Most students will cite to cost as a reason for not having government monitoring and enforcement, others will highlight technical skill and information advantages that make private actors engaged in polluting activity better situated to monitor the impacts of their activities. Students in favor of direct government oversight will emphasize the externalized costs that pollution imposes on communities and individuals (which is not accounted for in assessing the cost of the system) and will emphasize that pollution and its impacts are central focus of the regulatory agency but are viewed as public relations and/or profit-draining side issues to the private actor. In theory the penalties for submitting false or inaccurate information are high, the likelihood of discovery is low, and quite a few high-profile exposes show that even violations documented in self-reporting often remain unpunished and uncorrected. In 2009-10, the New York Times did an in-depth report on Clean Water Act violations. The reporting is collected at </w:t>
      </w:r>
      <w:hyperlink r:id="rId54" w:history="1">
        <w:r w:rsidRPr="008A70B6">
          <w:rPr>
            <w:rStyle w:val="Hyperlink"/>
          </w:rPr>
          <w:t>https://www.nytimes.com/interactive/projects/toxic-waters//index.html</w:t>
        </w:r>
      </w:hyperlink>
      <w:r>
        <w:t xml:space="preserve">. </w:t>
      </w:r>
      <w:r w:rsidRPr="003F44C2">
        <w:rPr>
          <w:i/>
          <w:iCs/>
        </w:rPr>
        <w:t>Clean Water Laws are Neglected, at a Cost in Suffering</w:t>
      </w:r>
      <w:r>
        <w:t xml:space="preserve"> (9/12/2009) is particularly interesting for students.  </w:t>
      </w:r>
      <w:hyperlink r:id="rId55" w:history="1">
        <w:r>
          <w:rPr>
            <w:rStyle w:val="Hyperlink"/>
          </w:rPr>
          <w:t>https://www.nytimes.com/2009/09/13/us/13water.html</w:t>
        </w:r>
      </w:hyperlink>
      <w:r>
        <w:t xml:space="preserve">. This reporting is obviously dated, but it offers a good starting point for discussing what kinds of revisions might be necessary and whether a system on self-reporting can achieve environmental and human health goals at all. </w:t>
      </w:r>
      <w:r>
        <w:br/>
      </w:r>
    </w:p>
    <w:p w14:paraId="6AECFBF3" w14:textId="77777777" w:rsidR="0070589C" w:rsidRPr="00C93631" w:rsidRDefault="0070589C" w:rsidP="0070589C">
      <w:pPr>
        <w:pStyle w:val="BodyText"/>
        <w:jc w:val="center"/>
        <w:rPr>
          <w:b/>
        </w:rPr>
      </w:pPr>
      <w:r w:rsidRPr="00206E20">
        <w:rPr>
          <w:b/>
        </w:rPr>
        <w:t xml:space="preserve">Role-play: </w:t>
      </w:r>
      <w:r>
        <w:rPr>
          <w:b/>
        </w:rPr>
        <w:t xml:space="preserve">Water Quality </w:t>
      </w:r>
    </w:p>
    <w:p w14:paraId="208A7870" w14:textId="77777777" w:rsidR="0070589C" w:rsidRDefault="0070589C" w:rsidP="0070589C">
      <w:pPr>
        <w:pStyle w:val="BodyText"/>
        <w:rPr>
          <w:bCs/>
        </w:rPr>
      </w:pPr>
    </w:p>
    <w:p w14:paraId="7B3B2E89" w14:textId="77777777" w:rsidR="0070589C" w:rsidRDefault="0070589C" w:rsidP="0070589C">
      <w:pPr>
        <w:pStyle w:val="BodyText"/>
        <w:ind w:right="540" w:firstLine="720"/>
        <w:jc w:val="both"/>
      </w:pPr>
      <w:r w:rsidRPr="00DF5FCF">
        <w:rPr>
          <w:bCs/>
        </w:rPr>
        <w:t>One idea for generating discussion is to have students do a role</w:t>
      </w:r>
      <w:r>
        <w:rPr>
          <w:bCs/>
        </w:rPr>
        <w:t>-</w:t>
      </w:r>
      <w:r w:rsidRPr="00DF5FCF">
        <w:rPr>
          <w:bCs/>
        </w:rPr>
        <w:t xml:space="preserve">play based on a </w:t>
      </w:r>
      <w:r>
        <w:rPr>
          <w:bCs/>
        </w:rPr>
        <w:t xml:space="preserve">water quality controversy. The Community Action Works Water Quality Guide, </w:t>
      </w:r>
      <w:r w:rsidRPr="00797675">
        <w:rPr>
          <w:bCs/>
          <w:i/>
          <w:iCs/>
        </w:rPr>
        <w:t>Read Before You Drink</w:t>
      </w:r>
      <w:r>
        <w:rPr>
          <w:bCs/>
        </w:rPr>
        <w:t xml:space="preserve"> has a helpful hypothetical involving a Milton, Vermont community near a junkyard. Residents are concerned that contaminants from the junkyard are leaching into their groundwater.     </w:t>
      </w:r>
      <w:hyperlink r:id="rId56" w:history="1">
        <w:r>
          <w:rPr>
            <w:rStyle w:val="Hyperlink"/>
          </w:rPr>
          <w:t>https://communityactionworks.org/wp-content/uploads/SfA_Water_Quality_Guide.pdf</w:t>
        </w:r>
      </w:hyperlink>
      <w:r>
        <w:rPr>
          <w:bCs/>
        </w:rPr>
        <w:t xml:space="preserve">. The guide walks students through the steps of the investigation and fact gathering, inviting them to create materials and consider choices. You can divide the class into groups and have each group do their own assessment. Students then make choices about how to publicize their findings, and design a legal or political action campaign. Another possibility is to divide the students into concerned residents, the Chamber of Commerce trying to promote the town as a vacation spot, elected local officials, and state regulators, and have a public hearing on the issue.  Students with various roles can experiment with representing the data in ways that advance their goals. </w:t>
      </w:r>
    </w:p>
    <w:p w14:paraId="28753369" w14:textId="77777777" w:rsidR="0070589C" w:rsidRDefault="0070589C" w:rsidP="0070589C">
      <w:pPr>
        <w:pStyle w:val="BodyText"/>
        <w:ind w:firstLine="720"/>
        <w:jc w:val="both"/>
      </w:pPr>
    </w:p>
    <w:p w14:paraId="3341FD84" w14:textId="77777777" w:rsidR="0070589C" w:rsidRDefault="0070589C" w:rsidP="0070589C">
      <w:pPr>
        <w:pStyle w:val="BodyText"/>
        <w:ind w:right="540" w:firstLine="720"/>
        <w:jc w:val="both"/>
      </w:pPr>
      <w:r>
        <w:t xml:space="preserve">It is helpful to lay this groundwork about the pros and cons of self-reporting before discussing the environmental justice ramifications of this kind of information-based regulation. This is a time to circle back to the students in favor of direct government oversight and talk to them about sacrifice zones—and how structural racism and gerrymandered districts have suppressed the voices of environmental justice communities. Ask students if they think that government can be trusted to prioritize the health and well-being of poor and/or minority communities rather than private industry. </w:t>
      </w:r>
    </w:p>
    <w:p w14:paraId="05A7778A" w14:textId="77777777" w:rsidR="0070589C" w:rsidRDefault="0070589C" w:rsidP="0070589C">
      <w:pPr>
        <w:pStyle w:val="BodyText"/>
        <w:ind w:firstLine="720"/>
        <w:jc w:val="both"/>
      </w:pPr>
    </w:p>
    <w:p w14:paraId="04A1A0A9" w14:textId="77777777" w:rsidR="0070589C" w:rsidRDefault="0070589C" w:rsidP="0070589C">
      <w:pPr>
        <w:pStyle w:val="BodyText"/>
        <w:ind w:right="540" w:firstLine="720"/>
        <w:jc w:val="both"/>
      </w:pPr>
      <w:r>
        <w:t xml:space="preserve">Professor Lamdan raises the issue of information privacy. How much should an agency worry about keeping environmental information private? How should an agency treat claims that materials and information about pollution are confidential business information? The Energy Policy Act of 2005 exempts energy companies from disclosing the chemicals in their fracking waste. Many states have passed so-called Ag Gag rules that criminalize photographing concentrated animal feed units. How do these legislative decisions impact environmental justice communities? </w:t>
      </w:r>
    </w:p>
    <w:p w14:paraId="479D175C" w14:textId="77777777" w:rsidR="0070589C" w:rsidRDefault="0070589C" w:rsidP="0070589C">
      <w:pPr>
        <w:pStyle w:val="BodyText"/>
        <w:ind w:firstLine="720"/>
        <w:jc w:val="both"/>
      </w:pPr>
    </w:p>
    <w:p w14:paraId="70960574" w14:textId="77777777" w:rsidR="0070589C" w:rsidRPr="00B67B86" w:rsidRDefault="0070589C" w:rsidP="0070589C">
      <w:pPr>
        <w:pStyle w:val="BodyText"/>
        <w:ind w:right="540" w:firstLine="720"/>
        <w:jc w:val="both"/>
        <w:rPr>
          <w:b/>
        </w:rPr>
      </w:pPr>
      <w:r>
        <w:t xml:space="preserve">EPA’s 2015 Guidance focuses on public involvement in agency decisions. Would such an approach work for monitoring and enforcement as well? </w:t>
      </w:r>
    </w:p>
    <w:p w14:paraId="465C1599" w14:textId="77777777" w:rsidR="0070589C" w:rsidRDefault="0070589C" w:rsidP="0070589C">
      <w:pPr>
        <w:pStyle w:val="BodyText"/>
        <w:kinsoku w:val="0"/>
        <w:overflowPunct w:val="0"/>
        <w:ind w:right="897"/>
        <w:jc w:val="both"/>
      </w:pPr>
    </w:p>
    <w:p w14:paraId="55B55C22" w14:textId="3B695B2D" w:rsidR="0070589C" w:rsidRDefault="0070589C" w:rsidP="0070589C">
      <w:pPr>
        <w:pStyle w:val="BodyText"/>
        <w:kinsoku w:val="0"/>
        <w:overflowPunct w:val="0"/>
        <w:ind w:right="897" w:firstLine="720"/>
        <w:rPr>
          <w:b/>
          <w:bCs/>
        </w:rPr>
      </w:pPr>
      <w:r>
        <w:rPr>
          <w:b/>
          <w:bCs/>
        </w:rPr>
        <w:t>B. The National Environmental P</w:t>
      </w:r>
      <w:r w:rsidR="00A1100B">
        <w:rPr>
          <w:b/>
          <w:bCs/>
        </w:rPr>
        <w:t>olicy</w:t>
      </w:r>
      <w:r>
        <w:rPr>
          <w:b/>
          <w:bCs/>
        </w:rPr>
        <w:t xml:space="preserve"> Act </w:t>
      </w:r>
    </w:p>
    <w:p w14:paraId="299C5E1E" w14:textId="77777777" w:rsidR="0070589C" w:rsidRDefault="0070589C" w:rsidP="0070589C">
      <w:pPr>
        <w:pStyle w:val="BodyText"/>
        <w:kinsoku w:val="0"/>
        <w:overflowPunct w:val="0"/>
        <w:ind w:right="897" w:firstLine="720"/>
        <w:rPr>
          <w:b/>
          <w:bCs/>
        </w:rPr>
      </w:pPr>
    </w:p>
    <w:p w14:paraId="6ED36F99" w14:textId="77777777" w:rsidR="0070589C" w:rsidRPr="003F44C2" w:rsidRDefault="0070589C" w:rsidP="0070589C">
      <w:pPr>
        <w:pStyle w:val="BodyText"/>
        <w:kinsoku w:val="0"/>
        <w:overflowPunct w:val="0"/>
        <w:ind w:right="897"/>
      </w:pPr>
      <w:r>
        <w:rPr>
          <w:b/>
          <w:bCs/>
        </w:rPr>
        <w:t xml:space="preserve">1. Introduction to NEPA </w:t>
      </w:r>
    </w:p>
    <w:p w14:paraId="406D4475" w14:textId="77777777" w:rsidR="0070589C" w:rsidRDefault="0070589C" w:rsidP="0070589C">
      <w:pPr>
        <w:pStyle w:val="BodyText"/>
        <w:kinsoku w:val="0"/>
        <w:overflowPunct w:val="0"/>
        <w:ind w:left="1080" w:right="897"/>
      </w:pPr>
    </w:p>
    <w:p w14:paraId="3AE80A5B" w14:textId="77777777" w:rsidR="0070589C" w:rsidRDefault="0070589C" w:rsidP="0070589C">
      <w:pPr>
        <w:pStyle w:val="BodyText"/>
        <w:kinsoku w:val="0"/>
        <w:overflowPunct w:val="0"/>
        <w:ind w:right="540" w:firstLine="720"/>
        <w:jc w:val="both"/>
      </w:pPr>
      <w:r>
        <w:t xml:space="preserve">The National Environmental Policy Act (NEPA) highlights the advantages and limitations of information-based regulation. It introduced the idea of environmental assessments as a prerequisite for major actions with environmental ramifications. Environmental impact analysis is now internationally recognized as the basis of sound environmental decision-making. However, NEPA has been interpreted as a procedural rather than substantive requirement.  As the Supreme Court interpreted it, Section 102 of NEPA imposes duties on the federal government and Section 101 does not.  As a result, NEPA is wholly procedural: it prevents uninformed agency action, but does not constrain substantive choices, even of those choices have dire environmental consequences. </w:t>
      </w:r>
    </w:p>
    <w:p w14:paraId="72E21454" w14:textId="77777777" w:rsidR="0070589C" w:rsidRDefault="0070589C" w:rsidP="0070589C">
      <w:pPr>
        <w:pStyle w:val="BodyText"/>
        <w:kinsoku w:val="0"/>
        <w:overflowPunct w:val="0"/>
        <w:ind w:right="897"/>
        <w:jc w:val="both"/>
      </w:pPr>
    </w:p>
    <w:p w14:paraId="6632E176" w14:textId="77777777" w:rsidR="0070589C" w:rsidRPr="00EE7F3F" w:rsidRDefault="0070589C" w:rsidP="0070589C">
      <w:pPr>
        <w:pStyle w:val="BodyText"/>
        <w:jc w:val="center"/>
        <w:rPr>
          <w:bCs/>
        </w:rPr>
      </w:pPr>
      <w:r w:rsidRPr="00BF4138">
        <w:rPr>
          <w:b/>
          <w:i/>
          <w:iCs/>
          <w:sz w:val="28"/>
          <w:szCs w:val="28"/>
        </w:rPr>
        <w:t>Notes and Questions</w:t>
      </w:r>
    </w:p>
    <w:p w14:paraId="49004AF3" w14:textId="77777777" w:rsidR="0070589C" w:rsidRDefault="0070589C" w:rsidP="0070589C">
      <w:pPr>
        <w:pStyle w:val="BodyText"/>
        <w:kinsoku w:val="0"/>
        <w:overflowPunct w:val="0"/>
        <w:ind w:right="897"/>
        <w:jc w:val="both"/>
      </w:pPr>
    </w:p>
    <w:p w14:paraId="2B483960" w14:textId="77777777" w:rsidR="0070589C" w:rsidRDefault="0070589C" w:rsidP="00307558">
      <w:pPr>
        <w:pStyle w:val="BodyText"/>
        <w:numPr>
          <w:ilvl w:val="0"/>
          <w:numId w:val="38"/>
        </w:numPr>
        <w:kinsoku w:val="0"/>
        <w:overflowPunct w:val="0"/>
        <w:ind w:right="897"/>
        <w:jc w:val="both"/>
      </w:pPr>
      <w:r w:rsidRPr="007336D8">
        <w:rPr>
          <w:b/>
          <w:bCs/>
        </w:rPr>
        <w:t xml:space="preserve">Toothless? </w:t>
      </w:r>
      <w:r>
        <w:t xml:space="preserve">Excerpted below is Section 101 of NEPA.  </w:t>
      </w:r>
    </w:p>
    <w:p w14:paraId="0CCDDD56" w14:textId="77777777" w:rsidR="0070589C" w:rsidRDefault="0070589C" w:rsidP="0070589C">
      <w:pPr>
        <w:pStyle w:val="BodyText"/>
        <w:kinsoku w:val="0"/>
        <w:overflowPunct w:val="0"/>
        <w:ind w:right="897"/>
        <w:jc w:val="both"/>
      </w:pPr>
    </w:p>
    <w:p w14:paraId="50B0EE54" w14:textId="77777777" w:rsidR="0070589C" w:rsidRDefault="0070589C" w:rsidP="0070589C">
      <w:pPr>
        <w:pStyle w:val="BodyText"/>
        <w:kinsoku w:val="0"/>
        <w:overflowPunct w:val="0"/>
        <w:ind w:left="720" w:right="900"/>
        <w:jc w:val="both"/>
      </w:pPr>
      <w:r>
        <w:t xml:space="preserve">(a) The Congress recognizes the profound impact of man's activity on the interrelations of all components of the natural environment, particularly the profound influences of population. growth, high-density urbanization, industrial expansion, resource exploitation, and new and expanding technological advances and recognizes further the critical importance of restoring and maintaining environmental quality to the overall welfare and development of man, declares that it is the continuing policy of the Federal Government, in cooperation with State and local governments, and other concerned public and private </w:t>
      </w:r>
      <w:r>
        <w:lastRenderedPageBreak/>
        <w:t xml:space="preserve">organizations, to use all practicable means and measures, including financial and technical assistance, in a manner calculated to foster and promote the general welfare, to create and maintain conditions under which man and nature can exist in productive harmony, and fulfill the social economic, and other requirements of present and future generations of Americans. </w:t>
      </w:r>
    </w:p>
    <w:p w14:paraId="2EB3EE4C" w14:textId="77777777" w:rsidR="0070589C" w:rsidRDefault="0070589C" w:rsidP="0070589C">
      <w:pPr>
        <w:pStyle w:val="BodyText"/>
        <w:kinsoku w:val="0"/>
        <w:overflowPunct w:val="0"/>
        <w:ind w:right="897"/>
        <w:jc w:val="both"/>
      </w:pPr>
    </w:p>
    <w:p w14:paraId="47C9B506" w14:textId="77777777" w:rsidR="0070589C" w:rsidRDefault="0070589C" w:rsidP="0070589C">
      <w:pPr>
        <w:pStyle w:val="BodyText"/>
        <w:kinsoku w:val="0"/>
        <w:overflowPunct w:val="0"/>
        <w:ind w:left="720" w:right="897"/>
        <w:jc w:val="both"/>
      </w:pPr>
      <w:r>
        <w:t>(b) In order to carry out the policy set forth in this Act, it is the continuing responsibility of the Federal Government to use all practicable means, consistent with other essential considerations of national policy, to improve and coordinate Federal plans, functions, programs, and resources to the end that the Nation may—</w:t>
      </w:r>
    </w:p>
    <w:p w14:paraId="203271BC" w14:textId="77777777" w:rsidR="0070589C" w:rsidRDefault="0070589C" w:rsidP="0070589C">
      <w:pPr>
        <w:pStyle w:val="BodyText"/>
        <w:kinsoku w:val="0"/>
        <w:overflowPunct w:val="0"/>
        <w:ind w:left="720" w:right="897"/>
        <w:jc w:val="both"/>
      </w:pPr>
    </w:p>
    <w:p w14:paraId="4A4208DF" w14:textId="77777777" w:rsidR="0070589C" w:rsidRDefault="0070589C" w:rsidP="0070589C">
      <w:pPr>
        <w:pStyle w:val="BodyText"/>
        <w:kinsoku w:val="0"/>
        <w:overflowPunct w:val="0"/>
        <w:ind w:left="720" w:right="897" w:firstLine="60"/>
        <w:jc w:val="both"/>
      </w:pPr>
      <w:r>
        <w:t xml:space="preserve">(1) fulfill the responsibilities of each generation as trustee of the environment for succeeding generations; </w:t>
      </w:r>
    </w:p>
    <w:p w14:paraId="625B291A" w14:textId="77777777" w:rsidR="0070589C" w:rsidRDefault="0070589C" w:rsidP="0070589C">
      <w:pPr>
        <w:pStyle w:val="BodyText"/>
        <w:kinsoku w:val="0"/>
        <w:overflowPunct w:val="0"/>
        <w:ind w:left="720" w:right="897"/>
        <w:jc w:val="both"/>
      </w:pPr>
      <w:r>
        <w:t xml:space="preserve">(2) assure for all Americans safe, healthful, productive and esthetically and culturally pleasing surroundings; </w:t>
      </w:r>
    </w:p>
    <w:p w14:paraId="5E44BF55" w14:textId="77777777" w:rsidR="0070589C" w:rsidRDefault="0070589C" w:rsidP="0070589C">
      <w:pPr>
        <w:pStyle w:val="BodyText"/>
        <w:kinsoku w:val="0"/>
        <w:overflowPunct w:val="0"/>
        <w:ind w:left="720" w:right="897"/>
        <w:jc w:val="both"/>
      </w:pPr>
      <w:r>
        <w:t>(3) attain the widest range of beneficial uses of the environment without degradation, risk to health of safety, or other undesirable and unintended consequences;</w:t>
      </w:r>
    </w:p>
    <w:p w14:paraId="0E6D0782" w14:textId="77777777" w:rsidR="0070589C" w:rsidRDefault="0070589C" w:rsidP="0070589C">
      <w:pPr>
        <w:pStyle w:val="BodyText"/>
        <w:kinsoku w:val="0"/>
        <w:overflowPunct w:val="0"/>
        <w:ind w:left="720" w:right="897" w:firstLine="60"/>
        <w:jc w:val="both"/>
      </w:pPr>
      <w:r>
        <w:t xml:space="preserve">(4) preserve important historic, cultural, and natural aspects of our national heritage, and maintain wherever possible, an environment which supports diversity and variety of individual choice; </w:t>
      </w:r>
    </w:p>
    <w:p w14:paraId="07C5C1B9" w14:textId="77777777" w:rsidR="0070589C" w:rsidRDefault="0070589C" w:rsidP="0070589C">
      <w:pPr>
        <w:pStyle w:val="BodyText"/>
        <w:kinsoku w:val="0"/>
        <w:overflowPunct w:val="0"/>
        <w:ind w:left="720" w:right="897"/>
        <w:jc w:val="both"/>
      </w:pPr>
      <w:r>
        <w:t xml:space="preserve">(5) achieve a balance between population and resource use which will permit high standards of living and a wide sharing of life’s amenities; and </w:t>
      </w:r>
    </w:p>
    <w:p w14:paraId="48A59239" w14:textId="77777777" w:rsidR="0070589C" w:rsidRDefault="0070589C" w:rsidP="0070589C">
      <w:pPr>
        <w:pStyle w:val="BodyText"/>
        <w:kinsoku w:val="0"/>
        <w:overflowPunct w:val="0"/>
        <w:ind w:left="720" w:right="897"/>
        <w:jc w:val="both"/>
      </w:pPr>
      <w:r>
        <w:t xml:space="preserve">(6) Enhance the quality of renewable resources and approach the maximum attainable recycling of depletable resources. </w:t>
      </w:r>
    </w:p>
    <w:p w14:paraId="12E78182" w14:textId="77777777" w:rsidR="0070589C" w:rsidRDefault="0070589C" w:rsidP="0070589C">
      <w:pPr>
        <w:pStyle w:val="BodyText"/>
        <w:kinsoku w:val="0"/>
        <w:overflowPunct w:val="0"/>
        <w:ind w:right="897"/>
        <w:jc w:val="both"/>
      </w:pPr>
    </w:p>
    <w:p w14:paraId="566001D0" w14:textId="77777777" w:rsidR="0070589C" w:rsidRDefault="0070589C" w:rsidP="0070589C">
      <w:pPr>
        <w:pStyle w:val="BodyText"/>
        <w:kinsoku w:val="0"/>
        <w:overflowPunct w:val="0"/>
        <w:ind w:left="720" w:right="900"/>
        <w:jc w:val="both"/>
      </w:pPr>
      <w:r>
        <w:t>(c) The Congress recognizes that each person should enjoy a healthful environment and that each person has a responsibility to contribute to the preservation and enhancement of the environment.</w:t>
      </w:r>
    </w:p>
    <w:p w14:paraId="3C325B22" w14:textId="77777777" w:rsidR="0070589C" w:rsidRDefault="0070589C" w:rsidP="0070589C">
      <w:pPr>
        <w:pStyle w:val="BodyText"/>
        <w:kinsoku w:val="0"/>
        <w:overflowPunct w:val="0"/>
        <w:ind w:right="897"/>
        <w:jc w:val="both"/>
      </w:pPr>
    </w:p>
    <w:p w14:paraId="72DF07A2" w14:textId="77777777" w:rsidR="0070589C" w:rsidRDefault="0070589C" w:rsidP="0070589C">
      <w:pPr>
        <w:pStyle w:val="BodyText"/>
        <w:kinsoku w:val="0"/>
        <w:overflowPunct w:val="0"/>
        <w:ind w:right="540"/>
        <w:jc w:val="both"/>
      </w:pPr>
      <w:r>
        <w:t xml:space="preserve">Students can generally have a good discussion about whether the Supreme Court was correct in deciding that Congress intended this language to be hortatory rather than binding.  </w:t>
      </w:r>
    </w:p>
    <w:p w14:paraId="7134BB59" w14:textId="77777777" w:rsidR="0070589C" w:rsidRDefault="0070589C" w:rsidP="0070589C">
      <w:pPr>
        <w:pStyle w:val="BodyText"/>
        <w:kinsoku w:val="0"/>
        <w:overflowPunct w:val="0"/>
        <w:ind w:right="897"/>
        <w:jc w:val="both"/>
      </w:pPr>
    </w:p>
    <w:p w14:paraId="0F043BF2" w14:textId="77777777" w:rsidR="0070589C" w:rsidRDefault="0070589C" w:rsidP="0070589C">
      <w:pPr>
        <w:pStyle w:val="BodyText"/>
        <w:kinsoku w:val="0"/>
        <w:overflowPunct w:val="0"/>
        <w:ind w:right="540"/>
        <w:jc w:val="both"/>
      </w:pPr>
      <w:r>
        <w:t xml:space="preserve">A good class assignment is to have students do some research and find a nearby open NEPA (or equivalent state law) process and see who has submitted comments. Students can see who participates and who does not, and then use those observations to draw insights about whether NEPA achieves public participation in environmental decision-making along the lines described in EPA’s 2015 Guidance. As a writing assignment, students can write comments to be added to the public record raising environmental justice concerns (either independently or working with community members.) </w:t>
      </w:r>
    </w:p>
    <w:p w14:paraId="307C7B12" w14:textId="77777777" w:rsidR="0070589C" w:rsidRDefault="0070589C" w:rsidP="0070589C">
      <w:pPr>
        <w:pStyle w:val="BodyText"/>
        <w:kinsoku w:val="0"/>
        <w:overflowPunct w:val="0"/>
        <w:ind w:right="897"/>
        <w:jc w:val="both"/>
      </w:pPr>
    </w:p>
    <w:p w14:paraId="328A384F" w14:textId="39BE3FB2" w:rsidR="0070589C" w:rsidRDefault="0070589C" w:rsidP="00307558">
      <w:pPr>
        <w:pStyle w:val="ListParagraph"/>
        <w:numPr>
          <w:ilvl w:val="0"/>
          <w:numId w:val="38"/>
        </w:numPr>
        <w:ind w:left="0" w:right="540" w:firstLine="360"/>
        <w:jc w:val="both"/>
      </w:pPr>
      <w:r w:rsidRPr="007336D8">
        <w:rPr>
          <w:b/>
          <w:bCs/>
        </w:rPr>
        <w:t>The Mitigated FONSI</w:t>
      </w:r>
      <w:r w:rsidR="00A1100B">
        <w:t xml:space="preserve">.  </w:t>
      </w:r>
      <w:r>
        <w:t xml:space="preserve">The Dakota Access Pipeline saga continues as this Teacher’s Manual is being written. In March 2020, Federal Judge James E. Boasberg vacated the Army Corps of Engineers permit and ordered the agency to conduct a sweeping environmental review. In July 2020, the Judge ordered the pipeline to cease operate while </w:t>
      </w:r>
      <w:r>
        <w:lastRenderedPageBreak/>
        <w:t>the age</w:t>
      </w:r>
      <w:r w:rsidR="00A1100B">
        <w:t xml:space="preserve">ncy conducted that review. </w:t>
      </w:r>
      <w:r w:rsidR="00ED6AB4">
        <w:t xml:space="preserve"> </w:t>
      </w:r>
      <w:r w:rsidR="00ED6AB4">
        <w:rPr>
          <w:rFonts w:eastAsia="Times New Roman"/>
        </w:rPr>
        <w:t xml:space="preserve">Standing Rock Sioux Tribe v. U.S. Army Corps, 2020 WL 3634426. </w:t>
      </w:r>
      <w:r w:rsidR="00A1100B">
        <w:t>The l</w:t>
      </w:r>
      <w:r>
        <w:t>awyer for the Sioux plaintiff responded that justice had finally been done, adding “[</w:t>
      </w:r>
      <w:r w:rsidRPr="00970FCE">
        <w:t>I</w:t>
      </w:r>
      <w:r>
        <w:t>]</w:t>
      </w:r>
      <w:r w:rsidRPr="00970FCE">
        <w:t xml:space="preserve">f the events of 2020 have taught us anything, it’s that health and justice must be prioritized </w:t>
      </w:r>
      <w:r w:rsidRPr="009B4B9C">
        <w:t>early on in any decision-making process if we want to avoid a crisis later on.”</w:t>
      </w:r>
    </w:p>
    <w:p w14:paraId="7B9EEF36" w14:textId="77777777" w:rsidR="0070589C" w:rsidRDefault="0070589C" w:rsidP="0070589C">
      <w:pPr>
        <w:ind w:right="540"/>
        <w:jc w:val="both"/>
      </w:pPr>
    </w:p>
    <w:p w14:paraId="25F051C3" w14:textId="254FC456" w:rsidR="0070589C" w:rsidRPr="006E5086" w:rsidRDefault="0070589C" w:rsidP="006E5086">
      <w:pPr>
        <w:pStyle w:val="BodyText"/>
        <w:jc w:val="both"/>
        <w:rPr>
          <w:bCs/>
        </w:rPr>
      </w:pPr>
      <w:r>
        <w:t xml:space="preserve">     </w:t>
      </w:r>
      <w:r w:rsidRPr="00B67B86">
        <w:rPr>
          <w:b/>
          <w:bCs/>
        </w:rPr>
        <w:t xml:space="preserve">3. The EIS goes global. </w:t>
      </w:r>
      <w:r w:rsidR="006E5086">
        <w:rPr>
          <w:b/>
          <w:bCs/>
        </w:rPr>
        <w:t xml:space="preserve">  </w:t>
      </w:r>
      <w:r w:rsidR="006E5086">
        <w:rPr>
          <w:bCs/>
        </w:rPr>
        <w:t xml:space="preserve">Environmental assessments may be popular nationally and internationally because they compel agencies and other project proponents to study the potential consequences of their proposals and therefore potentially avoid the worst impacts.  By allowing for public comment, they also allow affected communities to engage in the development and shaping of future actions, potentially serving the EJ interest in meaningful involvement.  On the other hand, because these processes may in the end require nothing more than study and comment opportunities, regardless of the impacts, they could be abused by giving communities some false feeling of engagement while the outcome may never change.  </w:t>
      </w:r>
    </w:p>
    <w:p w14:paraId="0F7D72A5" w14:textId="77777777" w:rsidR="0070589C" w:rsidRDefault="0070589C" w:rsidP="0070589C">
      <w:pPr>
        <w:pStyle w:val="BodyText"/>
        <w:rPr>
          <w:b/>
          <w:bCs/>
        </w:rPr>
      </w:pPr>
    </w:p>
    <w:p w14:paraId="5AA3DE62" w14:textId="7DEAA54C" w:rsidR="0070589C" w:rsidRPr="00B67B86" w:rsidRDefault="0070589C" w:rsidP="0070589C">
      <w:pPr>
        <w:pStyle w:val="BodyText"/>
        <w:rPr>
          <w:b/>
          <w:bCs/>
          <w:sz w:val="28"/>
          <w:szCs w:val="28"/>
        </w:rPr>
      </w:pPr>
      <w:r>
        <w:rPr>
          <w:b/>
          <w:bCs/>
        </w:rPr>
        <w:t xml:space="preserve">     </w:t>
      </w:r>
      <w:r w:rsidR="006E5086">
        <w:rPr>
          <w:b/>
          <w:bCs/>
        </w:rPr>
        <w:t xml:space="preserve">4. Pro Forma?  </w:t>
      </w:r>
      <w:r w:rsidR="006E5086">
        <w:rPr>
          <w:bCs/>
        </w:rPr>
        <w:t>This note is self-explanatory.</w:t>
      </w:r>
      <w:r>
        <w:rPr>
          <w:b/>
          <w:bCs/>
        </w:rPr>
        <w:t xml:space="preserve"> </w:t>
      </w:r>
      <w:r w:rsidRPr="00B67B86">
        <w:rPr>
          <w:b/>
          <w:bCs/>
        </w:rPr>
        <w:br/>
      </w:r>
    </w:p>
    <w:p w14:paraId="5B974984" w14:textId="5C9DED44" w:rsidR="0070589C" w:rsidRPr="00B67B86" w:rsidRDefault="0070589C" w:rsidP="0070589C">
      <w:pPr>
        <w:widowControl/>
        <w:autoSpaceDE/>
        <w:autoSpaceDN/>
        <w:adjustRightInd/>
        <w:spacing w:after="160" w:line="259" w:lineRule="auto"/>
        <w:jc w:val="both"/>
        <w:rPr>
          <w:b/>
          <w:bCs/>
          <w:sz w:val="24"/>
          <w:szCs w:val="24"/>
        </w:rPr>
      </w:pPr>
      <w:r w:rsidRPr="00B67B86">
        <w:rPr>
          <w:b/>
          <w:bCs/>
          <w:sz w:val="24"/>
          <w:szCs w:val="24"/>
        </w:rPr>
        <w:t>2. Agency Guidance on NEPA</w:t>
      </w:r>
      <w:r>
        <w:rPr>
          <w:b/>
          <w:bCs/>
          <w:sz w:val="24"/>
          <w:szCs w:val="24"/>
        </w:rPr>
        <w:t xml:space="preserve"> and E</w:t>
      </w:r>
      <w:r w:rsidR="006E5086">
        <w:rPr>
          <w:b/>
          <w:bCs/>
          <w:sz w:val="24"/>
          <w:szCs w:val="24"/>
        </w:rPr>
        <w:t>.</w:t>
      </w:r>
      <w:r>
        <w:rPr>
          <w:b/>
          <w:bCs/>
          <w:sz w:val="24"/>
          <w:szCs w:val="24"/>
        </w:rPr>
        <w:t>O</w:t>
      </w:r>
      <w:r w:rsidR="006E5086">
        <w:rPr>
          <w:b/>
          <w:bCs/>
          <w:sz w:val="24"/>
          <w:szCs w:val="24"/>
        </w:rPr>
        <w:t>.</w:t>
      </w:r>
      <w:r>
        <w:rPr>
          <w:b/>
          <w:bCs/>
          <w:sz w:val="24"/>
          <w:szCs w:val="24"/>
        </w:rPr>
        <w:t xml:space="preserve"> 12898</w:t>
      </w:r>
    </w:p>
    <w:p w14:paraId="5F962B8C" w14:textId="77777777" w:rsidR="0070589C" w:rsidRDefault="0070589C" w:rsidP="0070589C">
      <w:pPr>
        <w:widowControl/>
        <w:autoSpaceDE/>
        <w:autoSpaceDN/>
        <w:adjustRightInd/>
        <w:spacing w:after="160" w:line="259" w:lineRule="auto"/>
        <w:ind w:right="540"/>
        <w:jc w:val="center"/>
        <w:rPr>
          <w:b/>
          <w:bCs/>
          <w:i/>
          <w:iCs/>
          <w:sz w:val="28"/>
          <w:szCs w:val="28"/>
        </w:rPr>
      </w:pPr>
      <w:commentRangeStart w:id="27"/>
      <w:r w:rsidRPr="00C13864">
        <w:rPr>
          <w:b/>
          <w:bCs/>
          <w:i/>
          <w:iCs/>
          <w:sz w:val="28"/>
          <w:szCs w:val="28"/>
        </w:rPr>
        <w:t>Notes and Questions</w:t>
      </w:r>
      <w:commentRangeEnd w:id="27"/>
      <w:r>
        <w:rPr>
          <w:rStyle w:val="CommentReference"/>
        </w:rPr>
        <w:commentReference w:id="27"/>
      </w:r>
    </w:p>
    <w:p w14:paraId="1F11775F" w14:textId="7E8339BC" w:rsidR="0070589C" w:rsidRPr="003E3845" w:rsidRDefault="0070589C" w:rsidP="0070589C">
      <w:pPr>
        <w:widowControl/>
        <w:autoSpaceDE/>
        <w:autoSpaceDN/>
        <w:adjustRightInd/>
        <w:spacing w:after="160" w:line="259" w:lineRule="auto"/>
        <w:ind w:right="540" w:firstLine="720"/>
        <w:rPr>
          <w:bCs/>
          <w:sz w:val="24"/>
          <w:szCs w:val="24"/>
        </w:rPr>
      </w:pPr>
      <w:r w:rsidRPr="00C13864">
        <w:rPr>
          <w:b/>
          <w:bCs/>
          <w:sz w:val="24"/>
          <w:szCs w:val="24"/>
        </w:rPr>
        <w:t xml:space="preserve">1. Your turn. </w:t>
      </w:r>
      <w:r w:rsidR="003E3845">
        <w:rPr>
          <w:bCs/>
          <w:sz w:val="24"/>
          <w:szCs w:val="24"/>
        </w:rPr>
        <w:t xml:space="preserve"> This open-ended question may inspire considerable discussion and brainstorming in class.  Use of a whiteboard or designated note-takers may help to capture a range of ideas generated by our brilliant students.</w:t>
      </w:r>
    </w:p>
    <w:p w14:paraId="1F0C8B12" w14:textId="60567BA2" w:rsidR="003E3845" w:rsidRDefault="0070589C" w:rsidP="003E3845">
      <w:pPr>
        <w:widowControl/>
        <w:autoSpaceDE/>
        <w:autoSpaceDN/>
        <w:adjustRightInd/>
        <w:spacing w:after="160" w:line="259" w:lineRule="auto"/>
        <w:ind w:right="540" w:firstLine="720"/>
        <w:jc w:val="both"/>
        <w:rPr>
          <w:sz w:val="24"/>
          <w:szCs w:val="24"/>
        </w:rPr>
      </w:pPr>
      <w:r w:rsidRPr="00C13864">
        <w:rPr>
          <w:b/>
          <w:bCs/>
          <w:sz w:val="24"/>
          <w:szCs w:val="24"/>
        </w:rPr>
        <w:t xml:space="preserve">2. Lost in translation. </w:t>
      </w:r>
      <w:r w:rsidR="003E3845" w:rsidRPr="009B4B9C">
        <w:rPr>
          <w:sz w:val="24"/>
          <w:szCs w:val="24"/>
        </w:rPr>
        <w:t>Should agencies</w:t>
      </w:r>
      <w:r w:rsidR="003E3845">
        <w:rPr>
          <w:sz w:val="24"/>
          <w:szCs w:val="24"/>
        </w:rPr>
        <w:t xml:space="preserve"> be required to translate NEPA d</w:t>
      </w:r>
      <w:r w:rsidR="003E3845" w:rsidRPr="009B4B9C">
        <w:rPr>
          <w:sz w:val="24"/>
          <w:szCs w:val="24"/>
        </w:rPr>
        <w:t>ocuments? The Kettleman City situation described in Chapter 13 (Teachers Manual p. 128,</w:t>
      </w:r>
      <w:r w:rsidR="003E3845" w:rsidRPr="009B4B9C">
        <w:rPr>
          <w:bCs/>
          <w:sz w:val="24"/>
          <w:szCs w:val="24"/>
        </w:rPr>
        <w:t xml:space="preserve"> Text, pp. 246-250) emphasizes the importance of translation. The CEQ guidance directs agencies to “overcome barriers to participation.” It is difficult to think of a more obvious barrier than </w:t>
      </w:r>
      <w:r w:rsidR="003E3845" w:rsidRPr="00FB26B3">
        <w:rPr>
          <w:bCs/>
          <w:sz w:val="24"/>
          <w:szCs w:val="24"/>
        </w:rPr>
        <w:t xml:space="preserve">language. This very short </w:t>
      </w:r>
      <w:r w:rsidR="003E3845">
        <w:rPr>
          <w:bCs/>
          <w:sz w:val="24"/>
          <w:szCs w:val="24"/>
        </w:rPr>
        <w:t xml:space="preserve">clip can launch a good discussion about </w:t>
      </w:r>
      <w:r w:rsidR="003E3845" w:rsidRPr="00FB26B3">
        <w:rPr>
          <w:bCs/>
          <w:sz w:val="24"/>
          <w:szCs w:val="24"/>
        </w:rPr>
        <w:t xml:space="preserve">how frustrating and traumatizing language barriers can be for those trying to </w:t>
      </w:r>
      <w:r w:rsidR="003E3845">
        <w:rPr>
          <w:bCs/>
          <w:sz w:val="24"/>
          <w:szCs w:val="24"/>
        </w:rPr>
        <w:t xml:space="preserve">advocate or otherwise </w:t>
      </w:r>
      <w:r w:rsidR="003E3845" w:rsidRPr="00FB26B3">
        <w:rPr>
          <w:bCs/>
          <w:sz w:val="24"/>
          <w:szCs w:val="24"/>
        </w:rPr>
        <w:t xml:space="preserve">participate in </w:t>
      </w:r>
      <w:r w:rsidR="003E3845">
        <w:rPr>
          <w:bCs/>
          <w:sz w:val="24"/>
          <w:szCs w:val="24"/>
        </w:rPr>
        <w:t xml:space="preserve">public decision-making in </w:t>
      </w:r>
      <w:r w:rsidR="003E3845" w:rsidRPr="00FB26B3">
        <w:rPr>
          <w:bCs/>
          <w:sz w:val="24"/>
          <w:szCs w:val="24"/>
        </w:rPr>
        <w:t>their community.</w:t>
      </w:r>
      <w:r w:rsidR="003E3845">
        <w:rPr>
          <w:bCs/>
          <w:sz w:val="24"/>
          <w:szCs w:val="24"/>
        </w:rPr>
        <w:t xml:space="preserve"> </w:t>
      </w:r>
      <w:hyperlink r:id="rId61" w:history="1">
        <w:r w:rsidR="003E3845" w:rsidRPr="005134DD">
          <w:rPr>
            <w:rStyle w:val="Hyperlink"/>
            <w:sz w:val="24"/>
            <w:szCs w:val="24"/>
          </w:rPr>
          <w:t>https://www.youtube.com/watch?time_continue=99&amp;v=AeXvPalGEP4&amp;feature=emb_logo</w:t>
        </w:r>
      </w:hyperlink>
      <w:r w:rsidR="003E3845">
        <w:rPr>
          <w:sz w:val="24"/>
          <w:szCs w:val="24"/>
        </w:rPr>
        <w:t>.</w:t>
      </w:r>
    </w:p>
    <w:p w14:paraId="09FAD010" w14:textId="6AAB3FAF" w:rsidR="0070589C" w:rsidRPr="003E3845" w:rsidRDefault="0070589C" w:rsidP="0070589C">
      <w:pPr>
        <w:widowControl/>
        <w:autoSpaceDE/>
        <w:autoSpaceDN/>
        <w:adjustRightInd/>
        <w:spacing w:after="160" w:line="259" w:lineRule="auto"/>
        <w:ind w:right="540" w:firstLine="720"/>
        <w:rPr>
          <w:bCs/>
          <w:sz w:val="24"/>
          <w:szCs w:val="24"/>
        </w:rPr>
      </w:pPr>
      <w:r w:rsidRPr="00C13864">
        <w:rPr>
          <w:b/>
          <w:bCs/>
          <w:sz w:val="24"/>
          <w:szCs w:val="24"/>
        </w:rPr>
        <w:t xml:space="preserve">3. </w:t>
      </w:r>
      <w:r w:rsidR="003E3845">
        <w:rPr>
          <w:bCs/>
          <w:sz w:val="24"/>
          <w:szCs w:val="24"/>
        </w:rPr>
        <w:t xml:space="preserve"> This note is self-explanatory.</w:t>
      </w:r>
    </w:p>
    <w:p w14:paraId="760CB02E" w14:textId="2B755758" w:rsidR="0070589C" w:rsidRPr="00A1100B" w:rsidRDefault="0070589C" w:rsidP="0070589C">
      <w:pPr>
        <w:widowControl/>
        <w:autoSpaceDE/>
        <w:autoSpaceDN/>
        <w:adjustRightInd/>
        <w:spacing w:after="160" w:line="259" w:lineRule="auto"/>
        <w:ind w:firstLine="720"/>
        <w:jc w:val="both"/>
        <w:rPr>
          <w:b/>
          <w:bCs/>
          <w:sz w:val="24"/>
          <w:szCs w:val="24"/>
        </w:rPr>
      </w:pPr>
      <w:r w:rsidRPr="00A1100B">
        <w:rPr>
          <w:b/>
          <w:bCs/>
          <w:sz w:val="24"/>
          <w:szCs w:val="24"/>
        </w:rPr>
        <w:t xml:space="preserve">C. </w:t>
      </w:r>
      <w:r w:rsidR="0091466A">
        <w:rPr>
          <w:b/>
          <w:bCs/>
          <w:sz w:val="24"/>
          <w:szCs w:val="24"/>
        </w:rPr>
        <w:t>EJSCREEN</w:t>
      </w:r>
    </w:p>
    <w:p w14:paraId="5037C754" w14:textId="0291E0A3" w:rsidR="00A1100B" w:rsidRDefault="0091466A" w:rsidP="0070589C">
      <w:pPr>
        <w:widowControl/>
        <w:autoSpaceDE/>
        <w:autoSpaceDN/>
        <w:adjustRightInd/>
        <w:spacing w:after="160" w:line="259" w:lineRule="auto"/>
        <w:ind w:right="540" w:firstLine="720"/>
        <w:jc w:val="both"/>
        <w:rPr>
          <w:sz w:val="24"/>
          <w:szCs w:val="24"/>
        </w:rPr>
      </w:pPr>
      <w:r>
        <w:rPr>
          <w:sz w:val="24"/>
          <w:szCs w:val="24"/>
        </w:rPr>
        <w:t>EJSCREEN</w:t>
      </w:r>
      <w:r w:rsidR="0070589C" w:rsidRPr="003F44C2">
        <w:rPr>
          <w:sz w:val="24"/>
          <w:szCs w:val="24"/>
        </w:rPr>
        <w:t xml:space="preserve"> is a great tool for helping students see the importance of environmental information disclosure. As either an in-class exercise or homework, have students pick a large, well-known facility in the general vicinity of your scho</w:t>
      </w:r>
      <w:r>
        <w:rPr>
          <w:sz w:val="24"/>
          <w:szCs w:val="24"/>
        </w:rPr>
        <w:t>ol. Have them use EJSCREEN</w:t>
      </w:r>
      <w:r w:rsidR="0070589C" w:rsidRPr="003F44C2">
        <w:rPr>
          <w:sz w:val="24"/>
          <w:szCs w:val="24"/>
        </w:rPr>
        <w:t xml:space="preserve"> to</w:t>
      </w:r>
      <w:r w:rsidR="0070589C">
        <w:rPr>
          <w:sz w:val="24"/>
          <w:szCs w:val="24"/>
        </w:rPr>
        <w:t xml:space="preserve"> study</w:t>
      </w:r>
      <w:r w:rsidR="0070589C" w:rsidRPr="003F44C2">
        <w:rPr>
          <w:sz w:val="24"/>
          <w:szCs w:val="24"/>
        </w:rPr>
        <w:t xml:space="preserve"> the demographics of the population living within 1 mile of the facility. How many additional polluting industries are located within</w:t>
      </w:r>
      <w:r>
        <w:rPr>
          <w:sz w:val="24"/>
          <w:szCs w:val="24"/>
        </w:rPr>
        <w:t xml:space="preserve"> the circle? What does EJSCREEN</w:t>
      </w:r>
      <w:r w:rsidR="0070589C" w:rsidRPr="003F44C2">
        <w:rPr>
          <w:sz w:val="24"/>
          <w:szCs w:val="24"/>
        </w:rPr>
        <w:t xml:space="preserve"> report about air quality? Toxics emissions? Then have the students select their own home address and see how many (or few) polluting industries are located within those same circles. You can use additional local resources to add schools and parks to the map you are making. You might also want to add homeless shelters, highways, and other land use choices. </w:t>
      </w:r>
    </w:p>
    <w:p w14:paraId="6F2B2D38" w14:textId="71A0DD04" w:rsidR="00A1100B" w:rsidRDefault="0070589C" w:rsidP="0070589C">
      <w:pPr>
        <w:widowControl/>
        <w:autoSpaceDE/>
        <w:autoSpaceDN/>
        <w:adjustRightInd/>
        <w:spacing w:after="160" w:line="259" w:lineRule="auto"/>
        <w:ind w:right="540" w:firstLine="720"/>
        <w:jc w:val="both"/>
        <w:rPr>
          <w:sz w:val="24"/>
          <w:szCs w:val="24"/>
        </w:rPr>
      </w:pPr>
      <w:r w:rsidRPr="003F44C2">
        <w:rPr>
          <w:sz w:val="24"/>
          <w:szCs w:val="24"/>
        </w:rPr>
        <w:lastRenderedPageBreak/>
        <w:t xml:space="preserve">If you do not want to use a local example, you can use the Ravenswood Generating Station in Long Island City, New York, 11101. Here is a photo of the plant taken from the window of one of the book authors. </w:t>
      </w:r>
    </w:p>
    <w:p w14:paraId="5FCFC1A8" w14:textId="5A14984B" w:rsidR="0070589C" w:rsidRPr="003F44C2" w:rsidRDefault="0070589C" w:rsidP="00A1100B">
      <w:pPr>
        <w:widowControl/>
        <w:autoSpaceDE/>
        <w:autoSpaceDN/>
        <w:adjustRightInd/>
        <w:spacing w:after="160" w:line="259" w:lineRule="auto"/>
        <w:ind w:right="540" w:firstLine="720"/>
        <w:jc w:val="center"/>
        <w:rPr>
          <w:sz w:val="24"/>
          <w:szCs w:val="24"/>
        </w:rPr>
      </w:pPr>
      <w:r w:rsidRPr="003F44C2">
        <w:rPr>
          <w:noProof/>
          <w:sz w:val="24"/>
          <w:szCs w:val="24"/>
        </w:rPr>
        <w:drawing>
          <wp:inline distT="0" distB="0" distL="0" distR="0" wp14:anchorId="2C3EB867" wp14:editId="38020E49">
            <wp:extent cx="5593191" cy="3343275"/>
            <wp:effectExtent l="19050" t="19050" r="26670" b="9525"/>
            <wp:docPr id="4" name="Picture 4" descr="A view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venswood.jpg"/>
                    <pic:cNvPicPr/>
                  </pic:nvPicPr>
                  <pic:blipFill>
                    <a:blip r:embed="rId62">
                      <a:extLst>
                        <a:ext uri="{28A0092B-C50C-407E-A947-70E740481C1C}">
                          <a14:useLocalDpi xmlns:a14="http://schemas.microsoft.com/office/drawing/2010/main" val="0"/>
                        </a:ext>
                      </a:extLst>
                    </a:blip>
                    <a:stretch>
                      <a:fillRect/>
                    </a:stretch>
                  </pic:blipFill>
                  <pic:spPr>
                    <a:xfrm>
                      <a:off x="0" y="0"/>
                      <a:ext cx="5603774" cy="3349601"/>
                    </a:xfrm>
                    <a:prstGeom prst="rect">
                      <a:avLst/>
                    </a:prstGeom>
                    <a:ln w="12700">
                      <a:solidFill>
                        <a:schemeClr val="tx1"/>
                      </a:solidFill>
                    </a:ln>
                  </pic:spPr>
                </pic:pic>
              </a:graphicData>
            </a:graphic>
          </wp:inline>
        </w:drawing>
      </w:r>
    </w:p>
    <w:p w14:paraId="40452811" w14:textId="77777777" w:rsidR="0070589C" w:rsidRPr="003F44C2" w:rsidRDefault="0070589C" w:rsidP="0070589C">
      <w:pPr>
        <w:widowControl/>
        <w:autoSpaceDE/>
        <w:autoSpaceDN/>
        <w:adjustRightInd/>
        <w:spacing w:after="160" w:line="259" w:lineRule="auto"/>
        <w:jc w:val="both"/>
        <w:rPr>
          <w:sz w:val="24"/>
          <w:szCs w:val="24"/>
        </w:rPr>
      </w:pPr>
    </w:p>
    <w:p w14:paraId="381EEC71" w14:textId="480135D5" w:rsidR="0070589C" w:rsidRPr="003F44C2" w:rsidRDefault="0091466A" w:rsidP="0070589C">
      <w:pPr>
        <w:widowControl/>
        <w:autoSpaceDE/>
        <w:autoSpaceDN/>
        <w:adjustRightInd/>
        <w:spacing w:after="160" w:line="259" w:lineRule="auto"/>
        <w:ind w:right="540" w:firstLine="720"/>
        <w:jc w:val="both"/>
        <w:rPr>
          <w:sz w:val="24"/>
          <w:szCs w:val="24"/>
        </w:rPr>
      </w:pPr>
      <w:r>
        <w:rPr>
          <w:sz w:val="24"/>
          <w:szCs w:val="24"/>
        </w:rPr>
        <w:t xml:space="preserve">EJSCREEN </w:t>
      </w:r>
      <w:r w:rsidR="0070589C" w:rsidRPr="003F44C2">
        <w:rPr>
          <w:sz w:val="24"/>
          <w:szCs w:val="24"/>
        </w:rPr>
        <w:t>states that it does not identify environmental justice communities.  In 2017, New York City adopted an ordinance that required the City to develop criteria for identifying environmental justice communities and then to designate such communities. The desig</w:t>
      </w:r>
      <w:r w:rsidR="00A1100B">
        <w:rPr>
          <w:sz w:val="24"/>
          <w:szCs w:val="24"/>
        </w:rPr>
        <w:t>nation will be revisited every five</w:t>
      </w:r>
      <w:r w:rsidR="0070589C" w:rsidRPr="003F44C2">
        <w:rPr>
          <w:sz w:val="24"/>
          <w:szCs w:val="24"/>
        </w:rPr>
        <w:t xml:space="preserve"> years. The New York City approach can be the launch for a discussion about stigma, gentrification, and the reasons a community might want to be designated as an environmental justice community, and the reasons it might not. Students can come up with a variety of ways that such a designation might feed into local land use decision-making.</w:t>
      </w:r>
    </w:p>
    <w:p w14:paraId="156183D8" w14:textId="77777777" w:rsidR="0070589C" w:rsidRPr="00C13864" w:rsidRDefault="0070589C" w:rsidP="0070589C">
      <w:pPr>
        <w:widowControl/>
        <w:autoSpaceDE/>
        <w:autoSpaceDN/>
        <w:adjustRightInd/>
        <w:spacing w:after="160" w:line="259" w:lineRule="auto"/>
        <w:ind w:right="540" w:firstLine="720"/>
        <w:jc w:val="both"/>
        <w:rPr>
          <w:b/>
          <w:bCs/>
          <w:sz w:val="24"/>
          <w:szCs w:val="24"/>
        </w:rPr>
      </w:pPr>
      <w:r w:rsidRPr="00C13864">
        <w:rPr>
          <w:b/>
          <w:bCs/>
          <w:sz w:val="24"/>
          <w:szCs w:val="24"/>
        </w:rPr>
        <w:t>D. Community Participation in the NEPA Process</w:t>
      </w:r>
    </w:p>
    <w:p w14:paraId="590BB24F" w14:textId="77777777" w:rsidR="0070589C" w:rsidRDefault="0070589C" w:rsidP="0070589C">
      <w:pPr>
        <w:widowControl/>
        <w:autoSpaceDE/>
        <w:autoSpaceDN/>
        <w:adjustRightInd/>
        <w:spacing w:after="160" w:line="259" w:lineRule="auto"/>
        <w:ind w:right="540" w:firstLine="519"/>
        <w:jc w:val="both"/>
        <w:rPr>
          <w:sz w:val="24"/>
          <w:szCs w:val="24"/>
        </w:rPr>
      </w:pPr>
      <w:r w:rsidRPr="0058732B">
        <w:rPr>
          <w:sz w:val="24"/>
          <w:szCs w:val="24"/>
        </w:rPr>
        <w:t xml:space="preserve">In June of 2020, Duke Energy and Dominion Energy announced the cancellation of plans to build the Atlantic Pipeline. </w:t>
      </w:r>
      <w:r>
        <w:rPr>
          <w:sz w:val="24"/>
          <w:szCs w:val="24"/>
        </w:rPr>
        <w:t xml:space="preserve">This decision came just weeks after the companies won a 7-2 decision at the Supreme Court upholding a special use permit to allow the pipeline to cross the Appalachian Trail. </w:t>
      </w:r>
      <w:r w:rsidRPr="0058732B">
        <w:rPr>
          <w:sz w:val="24"/>
          <w:szCs w:val="24"/>
        </w:rPr>
        <w:t>The companies attributed th</w:t>
      </w:r>
      <w:r>
        <w:rPr>
          <w:sz w:val="24"/>
          <w:szCs w:val="24"/>
        </w:rPr>
        <w:t xml:space="preserve">e </w:t>
      </w:r>
      <w:r w:rsidRPr="0058732B">
        <w:rPr>
          <w:sz w:val="24"/>
          <w:szCs w:val="24"/>
        </w:rPr>
        <w:t xml:space="preserve">decision </w:t>
      </w:r>
      <w:r>
        <w:rPr>
          <w:sz w:val="24"/>
          <w:szCs w:val="24"/>
        </w:rPr>
        <w:t xml:space="preserve">to abandon the pipeline </w:t>
      </w:r>
      <w:r w:rsidRPr="0058732B">
        <w:rPr>
          <w:sz w:val="24"/>
          <w:szCs w:val="24"/>
        </w:rPr>
        <w:t>to ongoing delays, increased uncertainties, and increased costs.</w:t>
      </w:r>
      <w:r>
        <w:rPr>
          <w:sz w:val="24"/>
          <w:szCs w:val="24"/>
        </w:rPr>
        <w:t xml:space="preserve"> </w:t>
      </w:r>
      <w:hyperlink r:id="rId63" w:history="1">
        <w:r w:rsidRPr="008A70B6">
          <w:rPr>
            <w:rStyle w:val="Hyperlink"/>
            <w:sz w:val="24"/>
            <w:szCs w:val="24"/>
          </w:rPr>
          <w:t>https://www.prnewswire.com/news-releases/dominion-energy-and-duke-energy-cancel-the-atlantic-coast-pipeline-301088177.html</w:t>
        </w:r>
      </w:hyperlink>
      <w:r w:rsidRPr="0058732B">
        <w:rPr>
          <w:sz w:val="24"/>
          <w:szCs w:val="24"/>
        </w:rPr>
        <w:t xml:space="preserve">. </w:t>
      </w:r>
      <w:r>
        <w:rPr>
          <w:sz w:val="24"/>
          <w:szCs w:val="24"/>
        </w:rPr>
        <w:t>T</w:t>
      </w:r>
      <w:r w:rsidRPr="0058732B">
        <w:rPr>
          <w:sz w:val="24"/>
          <w:szCs w:val="24"/>
        </w:rPr>
        <w:t xml:space="preserve">hose factors were driven, at least in part, by the litigation brought by environmental justice advocates objecting to the pipeline’s proximity to their houses, schools, and communities. This might be a good start of a discussion about </w:t>
      </w:r>
      <w:r w:rsidRPr="0058732B">
        <w:rPr>
          <w:sz w:val="24"/>
          <w:szCs w:val="24"/>
        </w:rPr>
        <w:lastRenderedPageBreak/>
        <w:t xml:space="preserve">whether the outcome might have been different had the companies made an affirmative effort to include environmental justice communities and community concerns in the planning of the pipeline. </w:t>
      </w:r>
      <w:r>
        <w:rPr>
          <w:sz w:val="24"/>
          <w:szCs w:val="24"/>
        </w:rPr>
        <w:t xml:space="preserve">It also is a good segue to the climate justice chapter and a discussion about the future of fossil fuel infrastructure in light of the IPCC’s 1.5 Report.  </w:t>
      </w:r>
    </w:p>
    <w:p w14:paraId="30C46D6C" w14:textId="77777777" w:rsidR="0070589C" w:rsidRPr="00B67B86" w:rsidRDefault="0070589C" w:rsidP="0070589C">
      <w:pPr>
        <w:widowControl/>
        <w:autoSpaceDE/>
        <w:autoSpaceDN/>
        <w:adjustRightInd/>
        <w:spacing w:after="160" w:line="259" w:lineRule="auto"/>
        <w:ind w:right="540" w:firstLine="519"/>
        <w:jc w:val="both"/>
        <w:rPr>
          <w:b/>
          <w:bCs/>
          <w:sz w:val="24"/>
          <w:szCs w:val="24"/>
        </w:rPr>
      </w:pPr>
      <w:r w:rsidRPr="00B67B86">
        <w:rPr>
          <w:b/>
          <w:bCs/>
          <w:sz w:val="24"/>
          <w:szCs w:val="24"/>
        </w:rPr>
        <w:t>E. Judicial Review of NEPA Analyses</w:t>
      </w:r>
    </w:p>
    <w:p w14:paraId="7AA69136" w14:textId="292E45D2" w:rsidR="0070589C" w:rsidRPr="00C572F1" w:rsidRDefault="0070589C" w:rsidP="0070589C">
      <w:pPr>
        <w:ind w:right="540" w:firstLine="519"/>
        <w:jc w:val="both"/>
        <w:rPr>
          <w:sz w:val="24"/>
          <w:szCs w:val="24"/>
        </w:rPr>
      </w:pPr>
      <w:r w:rsidRPr="00C572F1">
        <w:rPr>
          <w:sz w:val="24"/>
          <w:szCs w:val="24"/>
        </w:rPr>
        <w:t xml:space="preserve">The Louisiana Energy Services decision highlights how much “seeing” environmental justice communities in an environmental impact analysis can change the outcome of the analysis. </w:t>
      </w:r>
      <w:r>
        <w:rPr>
          <w:rFonts w:ascii="TimesNewRoman" w:hAnsi="TimesNewRoman" w:cs="TimesNewRoman"/>
          <w:sz w:val="24"/>
          <w:szCs w:val="24"/>
        </w:rPr>
        <w:t xml:space="preserve">The major difference between traditional NEPA analysis and that required by the Board is the focus on the impacts on very specific minority subpopulations within larger communities who otherwise would not be separated from the larger community affected by the project. </w:t>
      </w:r>
      <w:r w:rsidRPr="00C572F1">
        <w:rPr>
          <w:sz w:val="24"/>
          <w:szCs w:val="24"/>
        </w:rPr>
        <w:t xml:space="preserve">It was only by looking deeper than census tracts that the Board recognized that there were environmental justice impacts.  Since so much analysis rests on census tracts, this insight is particularly important to keep in mind.  The proximity analysis championed by Paul Mohai </w:t>
      </w:r>
      <w:r>
        <w:rPr>
          <w:sz w:val="24"/>
          <w:szCs w:val="24"/>
        </w:rPr>
        <w:t xml:space="preserve">(discussed in Chapter 2) </w:t>
      </w:r>
      <w:r w:rsidR="006E5086">
        <w:rPr>
          <w:sz w:val="24"/>
          <w:szCs w:val="24"/>
        </w:rPr>
        <w:t>and employed in EJSCREEN</w:t>
      </w:r>
      <w:r w:rsidRPr="00C572F1">
        <w:rPr>
          <w:sz w:val="24"/>
          <w:szCs w:val="24"/>
        </w:rPr>
        <w:t xml:space="preserve"> helps alleviate this problem. </w:t>
      </w:r>
    </w:p>
    <w:p w14:paraId="631DC1AC" w14:textId="77777777" w:rsidR="0070589C" w:rsidRPr="00C572F1" w:rsidRDefault="0070589C" w:rsidP="0070589C">
      <w:pPr>
        <w:jc w:val="both"/>
        <w:rPr>
          <w:sz w:val="24"/>
          <w:szCs w:val="24"/>
        </w:rPr>
      </w:pPr>
    </w:p>
    <w:p w14:paraId="079BC379" w14:textId="77777777" w:rsidR="0070589C" w:rsidRPr="00B67B86" w:rsidRDefault="0070589C" w:rsidP="0070589C">
      <w:pPr>
        <w:ind w:right="540" w:firstLine="519"/>
        <w:jc w:val="both"/>
        <w:rPr>
          <w:sz w:val="24"/>
          <w:szCs w:val="24"/>
        </w:rPr>
      </w:pPr>
      <w:r w:rsidRPr="00C572F1">
        <w:rPr>
          <w:sz w:val="24"/>
          <w:szCs w:val="24"/>
        </w:rPr>
        <w:t>One threshold point to discuss with students is why the Environmental Impact Statement</w:t>
      </w:r>
      <w:r>
        <w:rPr>
          <w:sz w:val="24"/>
          <w:szCs w:val="24"/>
        </w:rPr>
        <w:t xml:space="preserve"> </w:t>
      </w:r>
      <w:r w:rsidRPr="00C572F1">
        <w:rPr>
          <w:sz w:val="24"/>
          <w:szCs w:val="24"/>
        </w:rPr>
        <w:t>analyzed the social and economic impacts of the proposed project at all. NEPA only</w:t>
      </w:r>
      <w:r>
        <w:rPr>
          <w:rFonts w:ascii="TimesNewRoman" w:hAnsi="TimesNewRoman" w:cs="TimesNewRoman"/>
          <w:sz w:val="24"/>
          <w:szCs w:val="24"/>
        </w:rPr>
        <w:t xml:space="preserve"> requires analysis of social and economic impacts that are related to the physical effects of a proposed project. Here, the social and economic impacts of relocation of Parish Road 39 seem linked to a physical impact on the environment -- moving the road. It is a little less clear what physical impacts the decline in property values are linked to; presumably it is the emissions and discharges stemming from the new plant. Arguably, these secondary impacts should be analyzed under NEPA even without the Executive Order, although it is possible that as a result of the Executive Order, the Board gave heightened attention to these impacts.</w:t>
      </w:r>
    </w:p>
    <w:p w14:paraId="7DA6A037" w14:textId="77777777" w:rsidR="0070589C" w:rsidRDefault="0070589C" w:rsidP="0070589C">
      <w:pPr>
        <w:jc w:val="both"/>
        <w:rPr>
          <w:rFonts w:ascii="TimesNewRoman" w:hAnsi="TimesNewRoman" w:cs="TimesNewRoman"/>
          <w:sz w:val="24"/>
          <w:szCs w:val="24"/>
        </w:rPr>
      </w:pPr>
    </w:p>
    <w:p w14:paraId="7C5D6513" w14:textId="77777777" w:rsidR="0070589C" w:rsidRDefault="0070589C" w:rsidP="00A1100B">
      <w:pPr>
        <w:ind w:right="540" w:firstLine="519"/>
        <w:jc w:val="both"/>
        <w:rPr>
          <w:rFonts w:ascii="TimesNewRoman" w:hAnsi="TimesNewRoman" w:cs="TimesNewRoman"/>
          <w:sz w:val="24"/>
          <w:szCs w:val="24"/>
        </w:rPr>
      </w:pPr>
      <w:r>
        <w:rPr>
          <w:rFonts w:ascii="TimesNewRoman" w:hAnsi="TimesNewRoman" w:cs="TimesNewRoman"/>
          <w:sz w:val="24"/>
          <w:szCs w:val="24"/>
        </w:rPr>
        <w:t xml:space="preserve">About the appellate decision overturning the Board, Professor Rechtschaffen has written the following: </w:t>
      </w:r>
    </w:p>
    <w:p w14:paraId="25FB76ED" w14:textId="77777777" w:rsidR="0070589C" w:rsidRDefault="0070589C" w:rsidP="0070589C">
      <w:pPr>
        <w:jc w:val="both"/>
        <w:rPr>
          <w:rFonts w:ascii="TimesNewRoman" w:hAnsi="TimesNewRoman" w:cs="TimesNewRoman"/>
          <w:sz w:val="24"/>
          <w:szCs w:val="24"/>
        </w:rPr>
      </w:pPr>
    </w:p>
    <w:p w14:paraId="3B0E20AA" w14:textId="77777777" w:rsidR="0070589C" w:rsidRDefault="0070589C" w:rsidP="0070589C">
      <w:pPr>
        <w:ind w:left="720" w:right="720"/>
        <w:rPr>
          <w:rFonts w:ascii="TimesNewRoman" w:hAnsi="TimesNewRoman" w:cs="TimesNewRoman"/>
          <w:sz w:val="24"/>
          <w:szCs w:val="24"/>
        </w:rPr>
      </w:pPr>
      <w:r>
        <w:rPr>
          <w:rFonts w:ascii="TimesNewRoman" w:hAnsi="TimesNewRoman" w:cs="TimesNewRoman"/>
          <w:sz w:val="24"/>
          <w:szCs w:val="24"/>
        </w:rPr>
        <w:t>The appellate decision reflects an unduly narrow view of NEPA, which places</w:t>
      </w:r>
    </w:p>
    <w:p w14:paraId="2807E6F0" w14:textId="77777777" w:rsidR="0070589C" w:rsidRDefault="0070589C" w:rsidP="0070589C">
      <w:pPr>
        <w:ind w:left="720" w:right="720"/>
        <w:rPr>
          <w:rFonts w:ascii="TimesNewRoman" w:hAnsi="TimesNewRoman" w:cs="TimesNewRoman"/>
          <w:sz w:val="24"/>
          <w:szCs w:val="24"/>
        </w:rPr>
      </w:pPr>
      <w:r>
        <w:rPr>
          <w:rFonts w:ascii="TimesNewRoman" w:hAnsi="TimesNewRoman" w:cs="TimesNewRoman"/>
          <w:sz w:val="24"/>
          <w:szCs w:val="24"/>
        </w:rPr>
        <w:t>central importance on procedure and meaningful public involvement in agency decisions. How, for instance, can federal decision makers “rigorously explore . . . all reasonable alternatives,” as NEPA’s implementing guidelines require [see 40 C.F.R. §1502.14], if the selection of potential alternatives is infected with racial bias? Such bias clearly can impede a truly meaningful evaluation, by eliminating a host of potential alternatives from consideration. Especially given NEPA’s focus on process, community groups should be able to require that the agency reconsider its evaluation of alternatives when evidence demonstrates that the agency’s decision results from a racially biased process.</w:t>
      </w:r>
    </w:p>
    <w:p w14:paraId="52333C1C" w14:textId="77777777" w:rsidR="0070589C" w:rsidRDefault="0070589C" w:rsidP="0070589C">
      <w:pPr>
        <w:ind w:left="720" w:right="720"/>
        <w:rPr>
          <w:rFonts w:ascii="TimesNewRoman" w:hAnsi="TimesNewRoman" w:cs="TimesNewRoman"/>
          <w:sz w:val="24"/>
          <w:szCs w:val="24"/>
        </w:rPr>
      </w:pPr>
    </w:p>
    <w:p w14:paraId="1295DD7C" w14:textId="77777777" w:rsidR="0070589C" w:rsidRDefault="0070589C" w:rsidP="0070589C">
      <w:pPr>
        <w:jc w:val="both"/>
        <w:rPr>
          <w:rFonts w:ascii="TimesNewRoman" w:hAnsi="TimesNewRoman" w:cs="TimesNewRoman"/>
          <w:sz w:val="24"/>
          <w:szCs w:val="24"/>
        </w:rPr>
      </w:pPr>
      <w:r>
        <w:rPr>
          <w:rFonts w:ascii="TimesNewRoman" w:hAnsi="TimesNewRoman" w:cs="TimesNewRoman"/>
          <w:sz w:val="24"/>
          <w:szCs w:val="24"/>
        </w:rPr>
        <w:t xml:space="preserve">Clifford Rechtschaffen, </w:t>
      </w:r>
      <w:r>
        <w:rPr>
          <w:rFonts w:ascii="TimesNewRoman,Italic" w:hAnsi="TimesNewRoman,Italic" w:cs="TimesNewRoman,Italic"/>
          <w:i/>
          <w:iCs/>
          <w:sz w:val="24"/>
          <w:szCs w:val="24"/>
        </w:rPr>
        <w:t xml:space="preserve">Advancing Environmental Justice Norms, </w:t>
      </w:r>
      <w:r>
        <w:rPr>
          <w:rFonts w:ascii="TimesNewRoman,Italic" w:hAnsi="TimesNewRoman,Italic" w:cs="TimesNewRoman,Italic"/>
          <w:sz w:val="24"/>
          <w:szCs w:val="24"/>
        </w:rPr>
        <w:t xml:space="preserve">37 </w:t>
      </w:r>
      <w:r>
        <w:rPr>
          <w:rFonts w:ascii="TimesNewRoman" w:hAnsi="TimesNewRoman" w:cs="TimesNewRoman"/>
          <w:sz w:val="24"/>
          <w:szCs w:val="24"/>
        </w:rPr>
        <w:t>UC D</w:t>
      </w:r>
      <w:r>
        <w:rPr>
          <w:rFonts w:ascii="TimesNewRoman" w:hAnsi="TimesNewRoman" w:cs="TimesNewRoman"/>
          <w:sz w:val="18"/>
          <w:szCs w:val="18"/>
        </w:rPr>
        <w:t xml:space="preserve">AVIS </w:t>
      </w:r>
      <w:r>
        <w:rPr>
          <w:rFonts w:ascii="TimesNewRoman" w:hAnsi="TimesNewRoman" w:cs="TimesNewRoman"/>
          <w:sz w:val="24"/>
          <w:szCs w:val="24"/>
        </w:rPr>
        <w:t>L. R</w:t>
      </w:r>
      <w:r>
        <w:rPr>
          <w:rFonts w:ascii="TimesNewRoman" w:hAnsi="TimesNewRoman" w:cs="TimesNewRoman"/>
          <w:sz w:val="18"/>
          <w:szCs w:val="18"/>
        </w:rPr>
        <w:t>EV</w:t>
      </w:r>
      <w:r>
        <w:rPr>
          <w:rFonts w:ascii="TimesNewRoman" w:hAnsi="TimesNewRoman" w:cs="TimesNewRoman"/>
          <w:sz w:val="24"/>
          <w:szCs w:val="24"/>
        </w:rPr>
        <w:t>. 95</w:t>
      </w:r>
    </w:p>
    <w:p w14:paraId="1A5E9353" w14:textId="77777777" w:rsidR="0070589C" w:rsidRDefault="0070589C" w:rsidP="0070589C">
      <w:pPr>
        <w:jc w:val="both"/>
      </w:pPr>
      <w:r>
        <w:rPr>
          <w:rFonts w:ascii="TimesNewRoman" w:hAnsi="TimesNewRoman" w:cs="TimesNewRoman"/>
          <w:sz w:val="24"/>
          <w:szCs w:val="24"/>
        </w:rPr>
        <w:t>(2003).</w:t>
      </w:r>
    </w:p>
    <w:p w14:paraId="39469040" w14:textId="77777777" w:rsidR="0070589C" w:rsidRDefault="0070589C" w:rsidP="0070589C">
      <w:pPr>
        <w:widowControl/>
        <w:autoSpaceDE/>
        <w:autoSpaceDN/>
        <w:adjustRightInd/>
        <w:spacing w:after="160" w:line="259" w:lineRule="auto"/>
        <w:jc w:val="both"/>
      </w:pPr>
    </w:p>
    <w:p w14:paraId="689BC4B7" w14:textId="3B87F406" w:rsidR="0070589C" w:rsidRPr="00C13864" w:rsidRDefault="0070589C" w:rsidP="0070589C">
      <w:pPr>
        <w:widowControl/>
        <w:autoSpaceDE/>
        <w:autoSpaceDN/>
        <w:adjustRightInd/>
        <w:spacing w:after="160" w:line="259" w:lineRule="auto"/>
        <w:ind w:firstLine="450"/>
        <w:rPr>
          <w:b/>
          <w:bCs/>
          <w:sz w:val="24"/>
          <w:szCs w:val="24"/>
        </w:rPr>
      </w:pPr>
      <w:r w:rsidRPr="00C13864">
        <w:rPr>
          <w:b/>
          <w:bCs/>
          <w:sz w:val="24"/>
          <w:szCs w:val="24"/>
        </w:rPr>
        <w:t xml:space="preserve">F. </w:t>
      </w:r>
      <w:r w:rsidR="003E3845">
        <w:rPr>
          <w:b/>
          <w:bCs/>
          <w:sz w:val="24"/>
          <w:szCs w:val="24"/>
        </w:rPr>
        <w:t xml:space="preserve">The </w:t>
      </w:r>
      <w:r w:rsidRPr="00C13864">
        <w:rPr>
          <w:b/>
          <w:bCs/>
          <w:sz w:val="24"/>
          <w:szCs w:val="24"/>
        </w:rPr>
        <w:t>Emergen</w:t>
      </w:r>
      <w:r w:rsidR="004B5435">
        <w:rPr>
          <w:b/>
          <w:bCs/>
          <w:sz w:val="24"/>
          <w:szCs w:val="24"/>
        </w:rPr>
        <w:t>cy Planning and Community Right-to-</w:t>
      </w:r>
      <w:r w:rsidRPr="00C13864">
        <w:rPr>
          <w:b/>
          <w:bCs/>
          <w:sz w:val="24"/>
          <w:szCs w:val="24"/>
        </w:rPr>
        <w:t>Know</w:t>
      </w:r>
      <w:r w:rsidR="003E3845">
        <w:rPr>
          <w:b/>
          <w:bCs/>
          <w:sz w:val="24"/>
          <w:szCs w:val="24"/>
        </w:rPr>
        <w:t xml:space="preserve"> Act</w:t>
      </w:r>
    </w:p>
    <w:p w14:paraId="2C5AEC88" w14:textId="5F840823" w:rsidR="004B5435" w:rsidRDefault="0070589C" w:rsidP="0070589C">
      <w:pPr>
        <w:widowControl/>
        <w:autoSpaceDE/>
        <w:autoSpaceDN/>
        <w:adjustRightInd/>
        <w:spacing w:after="160" w:line="259" w:lineRule="auto"/>
        <w:ind w:left="90" w:right="540" w:firstLine="360"/>
        <w:jc w:val="both"/>
        <w:rPr>
          <w:sz w:val="24"/>
          <w:szCs w:val="24"/>
        </w:rPr>
      </w:pPr>
      <w:r w:rsidRPr="00C13864">
        <w:rPr>
          <w:sz w:val="24"/>
          <w:szCs w:val="24"/>
        </w:rPr>
        <w:lastRenderedPageBreak/>
        <w:t>Most students were not yet born when the Bhopal incident occurred</w:t>
      </w:r>
      <w:r w:rsidR="003E3845">
        <w:rPr>
          <w:sz w:val="24"/>
          <w:szCs w:val="24"/>
        </w:rPr>
        <w:t xml:space="preserve"> in 1984</w:t>
      </w:r>
      <w:r w:rsidRPr="00C13864">
        <w:rPr>
          <w:sz w:val="24"/>
          <w:szCs w:val="24"/>
        </w:rPr>
        <w:t xml:space="preserve">. It is worth starting class with a little history of what happened in Bhopal. The chapter excerpted in the text gives many of the </w:t>
      </w:r>
      <w:r w:rsidR="00A1100B">
        <w:rPr>
          <w:sz w:val="24"/>
          <w:szCs w:val="24"/>
        </w:rPr>
        <w:t xml:space="preserve">details. This </w:t>
      </w:r>
      <w:r w:rsidR="00A1100B" w:rsidRPr="00A1100B">
        <w:rPr>
          <w:smallCaps/>
          <w:sz w:val="24"/>
          <w:szCs w:val="24"/>
        </w:rPr>
        <w:t>Atlantic</w:t>
      </w:r>
      <w:r w:rsidR="00A1100B">
        <w:rPr>
          <w:sz w:val="24"/>
          <w:szCs w:val="24"/>
        </w:rPr>
        <w:t xml:space="preserve"> a</w:t>
      </w:r>
      <w:r w:rsidRPr="00C13864">
        <w:rPr>
          <w:sz w:val="24"/>
          <w:szCs w:val="24"/>
        </w:rPr>
        <w:t>rticle, written on the 30</w:t>
      </w:r>
      <w:r w:rsidRPr="00C13864">
        <w:rPr>
          <w:sz w:val="24"/>
          <w:szCs w:val="24"/>
          <w:vertAlign w:val="superscript"/>
        </w:rPr>
        <w:t>th</w:t>
      </w:r>
      <w:r w:rsidRPr="00C13864">
        <w:rPr>
          <w:sz w:val="24"/>
          <w:szCs w:val="24"/>
        </w:rPr>
        <w:t xml:space="preserve"> anniversary</w:t>
      </w:r>
      <w:r w:rsidR="004B5435">
        <w:rPr>
          <w:sz w:val="24"/>
          <w:szCs w:val="24"/>
        </w:rPr>
        <w:t xml:space="preserve"> of Bhopal,</w:t>
      </w:r>
      <w:r w:rsidR="003E3845">
        <w:rPr>
          <w:sz w:val="24"/>
          <w:szCs w:val="24"/>
        </w:rPr>
        <w:t xml:space="preserve"> has photographs that can </w:t>
      </w:r>
      <w:r w:rsidRPr="00C13864">
        <w:rPr>
          <w:sz w:val="24"/>
          <w:szCs w:val="24"/>
        </w:rPr>
        <w:t xml:space="preserve">be used in the class. </w:t>
      </w:r>
    </w:p>
    <w:p w14:paraId="3AD69F7C" w14:textId="0A384926" w:rsidR="0070589C" w:rsidRPr="00C13864" w:rsidRDefault="0070589C" w:rsidP="0070589C">
      <w:pPr>
        <w:widowControl/>
        <w:autoSpaceDE/>
        <w:autoSpaceDN/>
        <w:adjustRightInd/>
        <w:spacing w:after="160" w:line="259" w:lineRule="auto"/>
        <w:ind w:left="90" w:right="540" w:firstLine="360"/>
        <w:jc w:val="both"/>
        <w:rPr>
          <w:sz w:val="24"/>
          <w:szCs w:val="24"/>
        </w:rPr>
      </w:pPr>
      <w:hyperlink r:id="rId64" w:history="1">
        <w:r w:rsidRPr="00C13864">
          <w:rPr>
            <w:rStyle w:val="Hyperlink"/>
            <w:sz w:val="24"/>
            <w:szCs w:val="24"/>
          </w:rPr>
          <w:t>https://www.theatlantic.com/photo/2014/12/bhopal-the-worlds-worst-industrial-disaster-30-years-later/100864/</w:t>
        </w:r>
      </w:hyperlink>
      <w:r w:rsidRPr="00C13864">
        <w:rPr>
          <w:sz w:val="24"/>
          <w:szCs w:val="24"/>
        </w:rPr>
        <w:br/>
      </w:r>
      <w:r w:rsidRPr="00C13864">
        <w:rPr>
          <w:sz w:val="24"/>
          <w:szCs w:val="24"/>
        </w:rPr>
        <w:br/>
      </w:r>
      <w:r w:rsidR="00A1100B">
        <w:rPr>
          <w:sz w:val="24"/>
          <w:szCs w:val="24"/>
        </w:rPr>
        <w:t xml:space="preserve"> </w:t>
      </w:r>
      <w:r w:rsidR="00A1100B">
        <w:rPr>
          <w:sz w:val="24"/>
          <w:szCs w:val="24"/>
        </w:rPr>
        <w:tab/>
      </w:r>
      <w:r w:rsidRPr="00C13864">
        <w:rPr>
          <w:sz w:val="24"/>
          <w:szCs w:val="24"/>
        </w:rPr>
        <w:t xml:space="preserve">You can generate discussion by asking students whether they requiring disclosure is an adequate response.  How might it change behavior of those at risk? How might it shape choices of those who have to report? The TRI is generally considered a success. These slides from environmental justice advocate and WEACT co-founder Vernice Miller-Travis can help explain why. </w:t>
      </w:r>
      <w:hyperlink r:id="rId65" w:history="1">
        <w:r w:rsidRPr="00C13864">
          <w:rPr>
            <w:rStyle w:val="Hyperlink"/>
            <w:sz w:val="24"/>
            <w:szCs w:val="24"/>
          </w:rPr>
          <w:t>https://www.epa.gov/sites/production/files/2016-11/documents/miller-travis_sri_tri_0930.pdf</w:t>
        </w:r>
      </w:hyperlink>
      <w:r w:rsidRPr="00C13864">
        <w:rPr>
          <w:sz w:val="24"/>
          <w:szCs w:val="24"/>
        </w:rPr>
        <w:t xml:space="preserve">.  This Earthjustice podcast interview with Miller-Travis is a good background assignment. </w:t>
      </w:r>
      <w:hyperlink r:id="rId66" w:history="1">
        <w:r w:rsidRPr="00C13864">
          <w:rPr>
            <w:rStyle w:val="Hyperlink"/>
            <w:sz w:val="24"/>
            <w:szCs w:val="24"/>
          </w:rPr>
          <w:t>https://earthjustice.org/audio/ecology-without-equality</w:t>
        </w:r>
      </w:hyperlink>
      <w:r w:rsidRPr="00C13864">
        <w:rPr>
          <w:sz w:val="24"/>
          <w:szCs w:val="24"/>
        </w:rPr>
        <w:t>.</w:t>
      </w:r>
    </w:p>
    <w:p w14:paraId="56B12D50" w14:textId="5A5B3153" w:rsidR="0070589C" w:rsidRPr="00C13864" w:rsidRDefault="0070589C" w:rsidP="0070589C">
      <w:pPr>
        <w:widowControl/>
        <w:autoSpaceDE/>
        <w:autoSpaceDN/>
        <w:adjustRightInd/>
        <w:spacing w:after="160" w:line="259" w:lineRule="auto"/>
        <w:ind w:left="90" w:right="540" w:firstLine="360"/>
        <w:jc w:val="both"/>
        <w:rPr>
          <w:sz w:val="24"/>
          <w:szCs w:val="24"/>
        </w:rPr>
      </w:pPr>
      <w:r w:rsidRPr="00C13864">
        <w:rPr>
          <w:sz w:val="24"/>
          <w:szCs w:val="24"/>
        </w:rPr>
        <w:t>The TRI plays a large role in EJ</w:t>
      </w:r>
      <w:r w:rsidR="006E5086">
        <w:rPr>
          <w:sz w:val="24"/>
          <w:szCs w:val="24"/>
        </w:rPr>
        <w:t>SCREEN</w:t>
      </w:r>
      <w:r w:rsidRPr="00C13864">
        <w:rPr>
          <w:sz w:val="24"/>
          <w:szCs w:val="24"/>
        </w:rPr>
        <w:t xml:space="preserve">.  A good activity that generates vibrant classroom discussion is to have students investigate the biggest emitters in their hometown, or where they live now, or locations you assign to them.  For many students, it is an eye-opening experience to see what kinds of pollution is emitted in places they expect to have clean air. If students investigate current and past emissions, they can see how emissions have changed over time and can opine more meaningfully about whether they agree with Bradley Karkkainen that TRI has been a success or with Kathryn E. Durham-Hammer that TRI is overrated. </w:t>
      </w:r>
    </w:p>
    <w:p w14:paraId="66244B06" w14:textId="77777777" w:rsidR="0070589C" w:rsidRDefault="0070589C" w:rsidP="0070589C">
      <w:pPr>
        <w:widowControl/>
        <w:autoSpaceDE/>
        <w:autoSpaceDN/>
        <w:adjustRightInd/>
        <w:spacing w:after="160" w:line="259" w:lineRule="auto"/>
        <w:rPr>
          <w:sz w:val="24"/>
          <w:szCs w:val="24"/>
        </w:rPr>
      </w:pPr>
      <w:r>
        <w:br w:type="page"/>
      </w:r>
    </w:p>
    <w:p w14:paraId="195F13C7" w14:textId="77777777" w:rsidR="0070589C" w:rsidRPr="00C73007" w:rsidRDefault="0070589C" w:rsidP="0070589C">
      <w:pPr>
        <w:pStyle w:val="BodyText"/>
        <w:rPr>
          <w:b/>
          <w:bCs/>
          <w:sz w:val="32"/>
          <w:szCs w:val="32"/>
        </w:rPr>
      </w:pPr>
      <w:r w:rsidRPr="00C73007">
        <w:rPr>
          <w:b/>
          <w:bCs/>
          <w:sz w:val="32"/>
          <w:szCs w:val="32"/>
        </w:rPr>
        <w:lastRenderedPageBreak/>
        <w:t xml:space="preserve">Chapter </w:t>
      </w:r>
      <w:r>
        <w:rPr>
          <w:b/>
          <w:bCs/>
          <w:sz w:val="32"/>
          <w:szCs w:val="32"/>
        </w:rPr>
        <w:t>13</w:t>
      </w:r>
    </w:p>
    <w:p w14:paraId="6F8670AA" w14:textId="77777777" w:rsidR="0070589C" w:rsidRPr="00C73007" w:rsidRDefault="0070589C" w:rsidP="0070589C">
      <w:pPr>
        <w:pStyle w:val="BodyText"/>
        <w:rPr>
          <w:b/>
          <w:sz w:val="32"/>
          <w:szCs w:val="32"/>
        </w:rPr>
      </w:pPr>
    </w:p>
    <w:p w14:paraId="139D0C84" w14:textId="77777777" w:rsidR="0070589C" w:rsidRPr="00C73007" w:rsidRDefault="0070589C" w:rsidP="0070589C">
      <w:pPr>
        <w:pStyle w:val="BodyText"/>
        <w:rPr>
          <w:b/>
          <w:sz w:val="32"/>
          <w:szCs w:val="32"/>
        </w:rPr>
      </w:pPr>
      <w:r>
        <w:rPr>
          <w:b/>
          <w:sz w:val="32"/>
          <w:szCs w:val="32"/>
        </w:rPr>
        <w:t>Citizen Enforcement and Common Law Remedies</w:t>
      </w:r>
    </w:p>
    <w:p w14:paraId="0AF5E704" w14:textId="77777777" w:rsidR="0070589C" w:rsidRDefault="0070589C" w:rsidP="0070589C">
      <w:pPr>
        <w:pStyle w:val="BodyText"/>
        <w:tabs>
          <w:tab w:val="left" w:pos="3013"/>
        </w:tabs>
      </w:pPr>
    </w:p>
    <w:p w14:paraId="16AC4DBC" w14:textId="77777777" w:rsidR="0070589C" w:rsidRPr="00C13864" w:rsidRDefault="0070589C" w:rsidP="0070589C">
      <w:pPr>
        <w:pStyle w:val="BodyText"/>
        <w:ind w:firstLine="720"/>
        <w:rPr>
          <w:b/>
        </w:rPr>
      </w:pPr>
      <w:r w:rsidRPr="00C13864">
        <w:rPr>
          <w:b/>
        </w:rPr>
        <w:t>A.  The Role of the Lawyer and Litigation</w:t>
      </w:r>
    </w:p>
    <w:p w14:paraId="6B2EF17F" w14:textId="77777777" w:rsidR="0070589C" w:rsidRDefault="0070589C" w:rsidP="0070589C">
      <w:pPr>
        <w:pStyle w:val="BodyText"/>
      </w:pPr>
    </w:p>
    <w:p w14:paraId="02F38AEE" w14:textId="77777777" w:rsidR="0070589C" w:rsidRDefault="0070589C" w:rsidP="0070589C">
      <w:pPr>
        <w:pStyle w:val="BodyText"/>
        <w:ind w:right="540"/>
        <w:jc w:val="both"/>
        <w:rPr>
          <w:bCs/>
        </w:rPr>
      </w:pPr>
      <w:r w:rsidRPr="00311A1A">
        <w:rPr>
          <w:bCs/>
        </w:rPr>
        <w:tab/>
        <w:t>Prior to discussing this chapter, s</w:t>
      </w:r>
      <w:r>
        <w:rPr>
          <w:bCs/>
        </w:rPr>
        <w:t xml:space="preserve">tudents could take a minute to recognize the multiple spaces for environmental justice advocacy, whether in government (for instance, public enforcement chapter) or private practice (see note 7 in Chapter 6:  Environmental Permits).  This chapter discusses the role of the advocate/lawyer in an environmental justice campaign or litigation.  A useful role-play to tease out the idea of “environmental justice lawyering” is a role-play involving one of the cases discussed in the chapter.  A fact pattern is available at the end of this chapter of the teacher’s manual.  </w:t>
      </w:r>
    </w:p>
    <w:p w14:paraId="54256E41" w14:textId="77777777" w:rsidR="0070589C" w:rsidRPr="000C6360" w:rsidRDefault="0070589C" w:rsidP="0070589C">
      <w:pPr>
        <w:pStyle w:val="BodyText"/>
        <w:rPr>
          <w:bCs/>
        </w:rPr>
      </w:pPr>
    </w:p>
    <w:p w14:paraId="3B038A62" w14:textId="77777777" w:rsidR="0070589C" w:rsidRPr="00C93631" w:rsidRDefault="0070589C" w:rsidP="0070589C">
      <w:pPr>
        <w:pStyle w:val="BodyText"/>
        <w:jc w:val="center"/>
        <w:rPr>
          <w:b/>
        </w:rPr>
      </w:pPr>
      <w:r w:rsidRPr="00206E20">
        <w:rPr>
          <w:b/>
        </w:rPr>
        <w:t>Role-play: Bayview Hunter’s Poi</w:t>
      </w:r>
      <w:r>
        <w:rPr>
          <w:b/>
        </w:rPr>
        <w:t>nt</w:t>
      </w:r>
    </w:p>
    <w:p w14:paraId="11E0A91F" w14:textId="77777777" w:rsidR="0070589C" w:rsidRDefault="0070589C" w:rsidP="0070589C">
      <w:pPr>
        <w:pStyle w:val="BodyText"/>
        <w:rPr>
          <w:bCs/>
        </w:rPr>
      </w:pPr>
    </w:p>
    <w:p w14:paraId="72C4C3BB" w14:textId="77777777" w:rsidR="0070589C" w:rsidRDefault="0070589C" w:rsidP="0070589C">
      <w:pPr>
        <w:pStyle w:val="BodyText"/>
        <w:ind w:right="540" w:firstLine="720"/>
        <w:jc w:val="both"/>
        <w:rPr>
          <w:bCs/>
        </w:rPr>
      </w:pPr>
      <w:r w:rsidRPr="00DF5FCF">
        <w:rPr>
          <w:bCs/>
        </w:rPr>
        <w:t>One idea for generating discussion is to have students do a role</w:t>
      </w:r>
      <w:r>
        <w:rPr>
          <w:bCs/>
        </w:rPr>
        <w:t>-</w:t>
      </w:r>
      <w:r w:rsidRPr="00DF5FCF">
        <w:rPr>
          <w:bCs/>
        </w:rPr>
        <w:t xml:space="preserve">play based on a power plant siting controversy </w:t>
      </w:r>
      <w:r>
        <w:rPr>
          <w:bCs/>
        </w:rPr>
        <w:t>touched on by Professor Helen Kang in this chapter (text, pp. 446-450).  F</w:t>
      </w:r>
      <w:r w:rsidRPr="00DF5FCF">
        <w:rPr>
          <w:bCs/>
        </w:rPr>
        <w:t xml:space="preserve">or more detail about the underlying dispute on which this is based, </w:t>
      </w:r>
      <w:r w:rsidRPr="00C93631">
        <w:rPr>
          <w:bCs/>
          <w:i/>
          <w:iCs/>
        </w:rPr>
        <w:t>see</w:t>
      </w:r>
      <w:r w:rsidRPr="00DF5FCF">
        <w:rPr>
          <w:bCs/>
        </w:rPr>
        <w:t xml:space="preserve"> </w:t>
      </w:r>
      <w:r>
        <w:rPr>
          <w:bCs/>
        </w:rPr>
        <w:t xml:space="preserve">Clifford Rechtschaffen, </w:t>
      </w:r>
      <w:r w:rsidRPr="00283E62">
        <w:rPr>
          <w:bCs/>
          <w:i/>
          <w:iCs/>
        </w:rPr>
        <w:t>Fighting Back Against a Power Plant</w:t>
      </w:r>
      <w:r w:rsidRPr="00DF5FCF">
        <w:rPr>
          <w:bCs/>
        </w:rPr>
        <w:t xml:space="preserve">, </w:t>
      </w:r>
      <w:r w:rsidRPr="00283E62">
        <w:rPr>
          <w:bCs/>
          <w:smallCaps/>
        </w:rPr>
        <w:t>3 Hastings West</w:t>
      </w:r>
      <w:r>
        <w:rPr>
          <w:bCs/>
          <w:smallCaps/>
        </w:rPr>
        <w:t xml:space="preserve"> </w:t>
      </w:r>
      <w:r w:rsidRPr="00283E62">
        <w:rPr>
          <w:bCs/>
          <w:smallCaps/>
        </w:rPr>
        <w:t>Northwest J. of Envtl</w:t>
      </w:r>
      <w:r>
        <w:rPr>
          <w:bCs/>
          <w:smallCaps/>
        </w:rPr>
        <w:t>.</w:t>
      </w:r>
      <w:r w:rsidRPr="00283E62">
        <w:rPr>
          <w:bCs/>
          <w:smallCaps/>
        </w:rPr>
        <w:t xml:space="preserve"> Law &amp; Pol’y 407</w:t>
      </w:r>
      <w:r w:rsidRPr="00DF5FCF">
        <w:rPr>
          <w:bCs/>
        </w:rPr>
        <w:t xml:space="preserve"> (1996). </w:t>
      </w:r>
    </w:p>
    <w:p w14:paraId="0195C2FD" w14:textId="77777777" w:rsidR="0070589C" w:rsidRDefault="0070589C" w:rsidP="0070589C">
      <w:pPr>
        <w:pStyle w:val="BodyText"/>
        <w:ind w:firstLine="720"/>
        <w:jc w:val="both"/>
        <w:rPr>
          <w:bCs/>
        </w:rPr>
      </w:pPr>
    </w:p>
    <w:p w14:paraId="696626AB" w14:textId="77777777" w:rsidR="0070589C" w:rsidRPr="00DF5FCF" w:rsidRDefault="0070589C" w:rsidP="0070589C">
      <w:pPr>
        <w:pStyle w:val="BodyText"/>
        <w:ind w:right="540" w:firstLine="720"/>
        <w:jc w:val="both"/>
        <w:rPr>
          <w:bCs/>
        </w:rPr>
      </w:pPr>
      <w:r w:rsidRPr="00DF5FCF">
        <w:rPr>
          <w:bCs/>
        </w:rPr>
        <w:t xml:space="preserve">The setting is the Bayview Hunters Point community in southeast San Francisco. </w:t>
      </w:r>
      <w:r>
        <w:rPr>
          <w:bCs/>
        </w:rPr>
        <w:t xml:space="preserve"> </w:t>
      </w:r>
      <w:r w:rsidRPr="00DF5FCF">
        <w:rPr>
          <w:bCs/>
        </w:rPr>
        <w:t xml:space="preserve">The community is 91% people of color, and for several decades has been home to junkyards, industrial facilities, and other undesirable land uses. </w:t>
      </w:r>
      <w:r>
        <w:rPr>
          <w:bCs/>
        </w:rPr>
        <w:t xml:space="preserve"> </w:t>
      </w:r>
      <w:r w:rsidRPr="00DF5FCF">
        <w:rPr>
          <w:bCs/>
        </w:rPr>
        <w:t xml:space="preserve">A large naval shipyard that provided employment to many residents has closed, and other infrastructure in the community has deteriorated. </w:t>
      </w:r>
      <w:r>
        <w:rPr>
          <w:bCs/>
        </w:rPr>
        <w:t xml:space="preserve"> </w:t>
      </w:r>
      <w:r w:rsidRPr="00DF5FCF">
        <w:rPr>
          <w:bCs/>
        </w:rPr>
        <w:t>The neighborhood has no retail services whatsoever.</w:t>
      </w:r>
      <w:r>
        <w:rPr>
          <w:bCs/>
        </w:rPr>
        <w:t xml:space="preserve"> </w:t>
      </w:r>
      <w:r w:rsidRPr="00DF5FCF">
        <w:rPr>
          <w:bCs/>
        </w:rPr>
        <w:t xml:space="preserve"> Unemployment stands at about 18%.</w:t>
      </w:r>
    </w:p>
    <w:p w14:paraId="0EE66842" w14:textId="77777777" w:rsidR="0070589C" w:rsidRPr="00DF5FCF" w:rsidRDefault="0070589C" w:rsidP="0070589C">
      <w:pPr>
        <w:pStyle w:val="BodyText"/>
        <w:jc w:val="both"/>
        <w:rPr>
          <w:bCs/>
        </w:rPr>
      </w:pPr>
    </w:p>
    <w:p w14:paraId="383A6DC4" w14:textId="77777777" w:rsidR="0070589C" w:rsidRPr="00DF5FCF" w:rsidRDefault="0070589C" w:rsidP="0070589C">
      <w:pPr>
        <w:pStyle w:val="BodyText"/>
        <w:ind w:right="540" w:firstLine="720"/>
        <w:jc w:val="both"/>
        <w:rPr>
          <w:bCs/>
        </w:rPr>
      </w:pPr>
      <w:r w:rsidRPr="00DF5FCF">
        <w:rPr>
          <w:bCs/>
        </w:rPr>
        <w:t xml:space="preserve">There are currently two fossil fuel power plants already located in the neighborhood. A company known as AES has proposed building a third power plant as well. </w:t>
      </w:r>
      <w:r>
        <w:rPr>
          <w:bCs/>
        </w:rPr>
        <w:t xml:space="preserve"> </w:t>
      </w:r>
      <w:r w:rsidRPr="00DF5FCF">
        <w:rPr>
          <w:bCs/>
        </w:rPr>
        <w:t xml:space="preserve">Some residents in the neighborhood happen to see a flyer about a hearing on the project before the agency with permitting authority over the siting of power plants in California, the California Energy Commission (CEC). </w:t>
      </w:r>
      <w:r>
        <w:rPr>
          <w:bCs/>
        </w:rPr>
        <w:t xml:space="preserve"> </w:t>
      </w:r>
      <w:r w:rsidRPr="00DF5FCF">
        <w:rPr>
          <w:bCs/>
        </w:rPr>
        <w:t xml:space="preserve">(No local land use permits are required under the energy siting regime, although the project may require a water discharge permit from the City of San Francisco.) Although it clearly has been in the works for some time, the community has received no other advance notice about the project. </w:t>
      </w:r>
      <w:r>
        <w:rPr>
          <w:bCs/>
        </w:rPr>
        <w:t xml:space="preserve"> </w:t>
      </w:r>
      <w:r w:rsidRPr="00DF5FCF">
        <w:rPr>
          <w:bCs/>
        </w:rPr>
        <w:t>CEC hearings are highly technical, dealing with issues of energy capacity, power grids, demand, technical capability, as well as environmental issues.</w:t>
      </w:r>
    </w:p>
    <w:p w14:paraId="3491BE1D" w14:textId="77777777" w:rsidR="0070589C" w:rsidRPr="00DF5FCF" w:rsidRDefault="0070589C" w:rsidP="0070589C">
      <w:pPr>
        <w:pStyle w:val="BodyText"/>
        <w:jc w:val="both"/>
        <w:rPr>
          <w:bCs/>
        </w:rPr>
      </w:pPr>
    </w:p>
    <w:p w14:paraId="56372411" w14:textId="77777777" w:rsidR="0070589C" w:rsidRPr="00DF5FCF" w:rsidRDefault="0070589C" w:rsidP="0070589C">
      <w:pPr>
        <w:pStyle w:val="BodyText"/>
        <w:ind w:right="540" w:firstLine="720"/>
        <w:jc w:val="both"/>
        <w:rPr>
          <w:bCs/>
        </w:rPr>
      </w:pPr>
      <w:r w:rsidRPr="00DF5FCF">
        <w:rPr>
          <w:bCs/>
        </w:rPr>
        <w:t>An environmental review has been prepared for the project by the Energy Commission</w:t>
      </w:r>
      <w:r>
        <w:rPr>
          <w:bCs/>
        </w:rPr>
        <w:t xml:space="preserve"> called</w:t>
      </w:r>
      <w:r w:rsidRPr="00DF5FCF">
        <w:rPr>
          <w:bCs/>
        </w:rPr>
        <w:t xml:space="preserve"> a “Final Staff Assessment” (FSA). </w:t>
      </w:r>
      <w:r>
        <w:rPr>
          <w:bCs/>
        </w:rPr>
        <w:t xml:space="preserve"> </w:t>
      </w:r>
      <w:r w:rsidRPr="00DF5FCF">
        <w:rPr>
          <w:bCs/>
        </w:rPr>
        <w:t xml:space="preserve">It identifies as the preferred alternative for the project a site located directly adjacent to a number of residents. </w:t>
      </w:r>
      <w:r>
        <w:rPr>
          <w:bCs/>
        </w:rPr>
        <w:t xml:space="preserve"> </w:t>
      </w:r>
      <w:r w:rsidRPr="00DF5FCF">
        <w:rPr>
          <w:bCs/>
        </w:rPr>
        <w:t xml:space="preserve">The other main alternative discussed is property owned by the Port of San Francisco, and development there would require a lease from the San Francisco Board of Supervisors. </w:t>
      </w:r>
      <w:r>
        <w:rPr>
          <w:bCs/>
        </w:rPr>
        <w:t xml:space="preserve"> </w:t>
      </w:r>
      <w:r w:rsidRPr="00DF5FCF">
        <w:rPr>
          <w:bCs/>
        </w:rPr>
        <w:t xml:space="preserve">The FSA notes </w:t>
      </w:r>
      <w:r w:rsidRPr="00DF5FCF">
        <w:rPr>
          <w:bCs/>
        </w:rPr>
        <w:lastRenderedPageBreak/>
        <w:t xml:space="preserve">that the new power plant will result in 50 tons of additional particulate emissions, but concludes that the effects of these emissions can be mitigated by AES’ agreement to plant grass on 20 or so playgrounds in the community. </w:t>
      </w:r>
      <w:r>
        <w:rPr>
          <w:bCs/>
        </w:rPr>
        <w:t xml:space="preserve"> </w:t>
      </w:r>
      <w:r w:rsidRPr="00DF5FCF">
        <w:rPr>
          <w:bCs/>
        </w:rPr>
        <w:t>The FSA’s discussion of environmental justice issues is extremely brief, noting that the proposal will comply with existing environmental laws, and that power plants have been cited in other low</w:t>
      </w:r>
      <w:r>
        <w:rPr>
          <w:bCs/>
        </w:rPr>
        <w:t>-</w:t>
      </w:r>
      <w:r w:rsidRPr="00DF5FCF">
        <w:rPr>
          <w:bCs/>
        </w:rPr>
        <w:t xml:space="preserve">income areas around the state. </w:t>
      </w:r>
      <w:r>
        <w:rPr>
          <w:bCs/>
        </w:rPr>
        <w:t xml:space="preserve"> </w:t>
      </w:r>
      <w:r w:rsidRPr="00DF5FCF">
        <w:rPr>
          <w:bCs/>
        </w:rPr>
        <w:t>The FSA does not discuss Title VI of the Civil Rights Act or the Energy Commission’s potential obligations under Title VI.</w:t>
      </w:r>
    </w:p>
    <w:p w14:paraId="1C6F8F99" w14:textId="77777777" w:rsidR="0070589C" w:rsidRPr="00DF5FCF" w:rsidRDefault="0070589C" w:rsidP="0070589C">
      <w:pPr>
        <w:pStyle w:val="BodyText"/>
        <w:jc w:val="both"/>
        <w:rPr>
          <w:bCs/>
        </w:rPr>
      </w:pPr>
    </w:p>
    <w:p w14:paraId="7EE497E0" w14:textId="77777777" w:rsidR="0070589C" w:rsidRPr="00DF5FCF" w:rsidRDefault="0070589C" w:rsidP="0070589C">
      <w:pPr>
        <w:pStyle w:val="BodyText"/>
        <w:ind w:right="540" w:firstLine="720"/>
        <w:jc w:val="both"/>
        <w:rPr>
          <w:bCs/>
        </w:rPr>
      </w:pPr>
      <w:r>
        <w:rPr>
          <w:bCs/>
        </w:rPr>
        <w:t>Assume that t</w:t>
      </w:r>
      <w:r w:rsidRPr="00DF5FCF">
        <w:rPr>
          <w:bCs/>
        </w:rPr>
        <w:t xml:space="preserve">here are no existing environmental justice organizations in the Bayview Hunters Point community. </w:t>
      </w:r>
      <w:r>
        <w:rPr>
          <w:bCs/>
        </w:rPr>
        <w:t xml:space="preserve"> </w:t>
      </w:r>
      <w:r w:rsidRPr="00DF5FCF">
        <w:rPr>
          <w:bCs/>
        </w:rPr>
        <w:t xml:space="preserve">Members of the community know that many of their neighbors suffer </w:t>
      </w:r>
      <w:r>
        <w:rPr>
          <w:bCs/>
        </w:rPr>
        <w:t xml:space="preserve">from </w:t>
      </w:r>
      <w:r w:rsidRPr="00DF5FCF">
        <w:rPr>
          <w:bCs/>
        </w:rPr>
        <w:t xml:space="preserve">health problems that could be the result of pollution. </w:t>
      </w:r>
      <w:r>
        <w:rPr>
          <w:bCs/>
        </w:rPr>
        <w:t xml:space="preserve"> </w:t>
      </w:r>
      <w:r w:rsidRPr="00DF5FCF">
        <w:rPr>
          <w:bCs/>
        </w:rPr>
        <w:t xml:space="preserve">They also believe that their community hosts too many noxious facilities, but they don’t know exactly how many there are (they do know that their neighborhood is home to one of the city’s two Sewage Treatment plants, a Superfund site, the former naval shipyard, and lots of junkyards and other polluting facilities). </w:t>
      </w:r>
      <w:r>
        <w:rPr>
          <w:bCs/>
        </w:rPr>
        <w:t xml:space="preserve"> </w:t>
      </w:r>
      <w:r w:rsidRPr="00DF5FCF">
        <w:rPr>
          <w:bCs/>
        </w:rPr>
        <w:t>A closely contested race for mayor of San Francisco is taking place this year.</w:t>
      </w:r>
    </w:p>
    <w:p w14:paraId="22A36E87" w14:textId="77777777" w:rsidR="0070589C" w:rsidRPr="00DF5FCF" w:rsidRDefault="0070589C" w:rsidP="0070589C">
      <w:pPr>
        <w:pStyle w:val="BodyText"/>
        <w:jc w:val="both"/>
        <w:rPr>
          <w:bCs/>
        </w:rPr>
      </w:pPr>
    </w:p>
    <w:p w14:paraId="72D3F826" w14:textId="77777777" w:rsidR="0070589C" w:rsidRPr="00DF5FCF" w:rsidRDefault="0070589C" w:rsidP="0070589C">
      <w:pPr>
        <w:pStyle w:val="BodyText"/>
        <w:ind w:right="540" w:firstLine="720"/>
        <w:jc w:val="both"/>
        <w:rPr>
          <w:bCs/>
        </w:rPr>
      </w:pPr>
      <w:r w:rsidRPr="00DF5FCF">
        <w:rPr>
          <w:bCs/>
        </w:rPr>
        <w:t xml:space="preserve">Assume that you are lawyers, whom three members of a local community group have come to visit to ask for help in stopping the project. </w:t>
      </w:r>
      <w:r>
        <w:rPr>
          <w:bCs/>
        </w:rPr>
        <w:t xml:space="preserve"> </w:t>
      </w:r>
      <w:r w:rsidRPr="00DF5FCF">
        <w:rPr>
          <w:bCs/>
        </w:rPr>
        <w:t xml:space="preserve">What strategy(ies) should you develop for stopping the project? </w:t>
      </w:r>
      <w:r>
        <w:rPr>
          <w:bCs/>
        </w:rPr>
        <w:t xml:space="preserve"> </w:t>
      </w:r>
      <w:r w:rsidRPr="00DF5FCF">
        <w:rPr>
          <w:bCs/>
        </w:rPr>
        <w:t>What activities should you as lawyers engage in, and what would you recommend to your clients?</w:t>
      </w:r>
    </w:p>
    <w:p w14:paraId="48E3B21B" w14:textId="77777777" w:rsidR="0070589C" w:rsidRPr="00DF5FCF" w:rsidRDefault="0070589C" w:rsidP="0070589C">
      <w:pPr>
        <w:pStyle w:val="BodyText"/>
        <w:jc w:val="both"/>
        <w:rPr>
          <w:bCs/>
        </w:rPr>
      </w:pPr>
    </w:p>
    <w:p w14:paraId="623489A7" w14:textId="77777777" w:rsidR="0070589C" w:rsidRPr="00DF5FCF" w:rsidRDefault="0070589C" w:rsidP="0070589C">
      <w:pPr>
        <w:pStyle w:val="BodyText"/>
        <w:ind w:right="540" w:firstLine="720"/>
        <w:jc w:val="both"/>
        <w:rPr>
          <w:bCs/>
        </w:rPr>
      </w:pPr>
      <w:r>
        <w:rPr>
          <w:bCs/>
        </w:rPr>
        <w:t>Suggested ideas for the role-play: b</w:t>
      </w:r>
      <w:r w:rsidRPr="00DF5FCF">
        <w:rPr>
          <w:bCs/>
        </w:rPr>
        <w:t xml:space="preserve">reak the students into small groups and ask them to develop a strategy(ies) for stopping the project. </w:t>
      </w:r>
      <w:r>
        <w:rPr>
          <w:bCs/>
        </w:rPr>
        <w:t xml:space="preserve"> </w:t>
      </w:r>
      <w:r w:rsidRPr="00DF5FCF">
        <w:rPr>
          <w:bCs/>
        </w:rPr>
        <w:t xml:space="preserve">Ask them what activities they, as lawyers, should engage in, and what they would recommend to their clients? </w:t>
      </w:r>
      <w:r>
        <w:rPr>
          <w:bCs/>
        </w:rPr>
        <w:t xml:space="preserve"> </w:t>
      </w:r>
      <w:r w:rsidRPr="00DF5FCF">
        <w:rPr>
          <w:bCs/>
        </w:rPr>
        <w:t>You could ask them to assume different roles:</w:t>
      </w:r>
    </w:p>
    <w:p w14:paraId="1491AF53" w14:textId="77777777" w:rsidR="0070589C" w:rsidRPr="00DF5FCF" w:rsidRDefault="0070589C" w:rsidP="0070589C">
      <w:pPr>
        <w:pStyle w:val="BodyText"/>
        <w:jc w:val="both"/>
        <w:rPr>
          <w:bCs/>
        </w:rPr>
      </w:pPr>
    </w:p>
    <w:p w14:paraId="33FFCCF5" w14:textId="77777777" w:rsidR="0070589C" w:rsidRPr="00DF5FCF" w:rsidRDefault="0070589C" w:rsidP="0070589C">
      <w:pPr>
        <w:pStyle w:val="BodyText"/>
        <w:jc w:val="both"/>
        <w:rPr>
          <w:bCs/>
        </w:rPr>
      </w:pPr>
      <w:r w:rsidRPr="00DF5FCF">
        <w:rPr>
          <w:bCs/>
        </w:rPr>
        <w:t>•</w:t>
      </w:r>
      <w:r w:rsidRPr="00DF5FCF">
        <w:rPr>
          <w:bCs/>
        </w:rPr>
        <w:tab/>
        <w:t>Partners at a traditional law firm deciding whether to take the case;</w:t>
      </w:r>
    </w:p>
    <w:p w14:paraId="7766A99E" w14:textId="77777777" w:rsidR="0070589C" w:rsidRPr="00DF5FCF" w:rsidRDefault="0070589C" w:rsidP="0070589C">
      <w:pPr>
        <w:pStyle w:val="BodyText"/>
        <w:jc w:val="both"/>
        <w:rPr>
          <w:bCs/>
        </w:rPr>
      </w:pPr>
      <w:r w:rsidRPr="00DF5FCF">
        <w:rPr>
          <w:bCs/>
        </w:rPr>
        <w:t>•</w:t>
      </w:r>
      <w:r w:rsidRPr="00DF5FCF">
        <w:rPr>
          <w:bCs/>
        </w:rPr>
        <w:tab/>
        <w:t>Partners at a public interest law firm deciding whether to take the case;</w:t>
      </w:r>
    </w:p>
    <w:p w14:paraId="388611B4" w14:textId="77777777" w:rsidR="0070589C" w:rsidRPr="00DF5FCF" w:rsidRDefault="0070589C" w:rsidP="0070589C">
      <w:pPr>
        <w:pStyle w:val="BodyText"/>
        <w:ind w:left="720" w:right="540" w:hanging="720"/>
        <w:jc w:val="both"/>
        <w:rPr>
          <w:bCs/>
        </w:rPr>
      </w:pPr>
      <w:r w:rsidRPr="00DF5FCF">
        <w:rPr>
          <w:bCs/>
        </w:rPr>
        <w:t>•</w:t>
      </w:r>
      <w:r w:rsidRPr="00DF5FCF">
        <w:rPr>
          <w:bCs/>
        </w:rPr>
        <w:tab/>
        <w:t>Clinical professors deciding whether the school's law clinic should take the case (then a clinic with a student practice rule like Louisiana's, which allows you to explore some of the issues associated with the Tulane Environmental Law Clinic, text pp. 259-260).</w:t>
      </w:r>
    </w:p>
    <w:p w14:paraId="0A61F13F" w14:textId="77777777" w:rsidR="0070589C" w:rsidRPr="00DF5FCF" w:rsidRDefault="0070589C" w:rsidP="0070589C">
      <w:pPr>
        <w:pStyle w:val="BodyText"/>
        <w:jc w:val="both"/>
        <w:rPr>
          <w:bCs/>
        </w:rPr>
      </w:pPr>
    </w:p>
    <w:p w14:paraId="6A70C2F8" w14:textId="77777777" w:rsidR="0070589C" w:rsidRPr="00DF5FCF" w:rsidRDefault="0070589C" w:rsidP="0070589C">
      <w:pPr>
        <w:pStyle w:val="BodyText"/>
        <w:ind w:right="540" w:firstLine="720"/>
        <w:jc w:val="both"/>
        <w:rPr>
          <w:bCs/>
        </w:rPr>
      </w:pPr>
      <w:r w:rsidRPr="00DF5FCF">
        <w:rPr>
          <w:bCs/>
        </w:rPr>
        <w:t>You could leave the exercise open-ended, or you could ask them to consider the pros and cons of the following ideas:</w:t>
      </w:r>
    </w:p>
    <w:p w14:paraId="02F49012" w14:textId="77777777" w:rsidR="0070589C" w:rsidRPr="00DF5FCF" w:rsidRDefault="0070589C" w:rsidP="0070589C">
      <w:pPr>
        <w:pStyle w:val="BodyText"/>
        <w:jc w:val="both"/>
        <w:rPr>
          <w:bCs/>
        </w:rPr>
      </w:pPr>
    </w:p>
    <w:p w14:paraId="7B47AC32" w14:textId="77777777" w:rsidR="0070589C" w:rsidRPr="00DF5FCF" w:rsidRDefault="0070589C" w:rsidP="0070589C">
      <w:pPr>
        <w:pStyle w:val="BodyText"/>
        <w:jc w:val="both"/>
        <w:rPr>
          <w:bCs/>
        </w:rPr>
      </w:pPr>
      <w:r w:rsidRPr="00DF5FCF">
        <w:rPr>
          <w:bCs/>
        </w:rPr>
        <w:t>1.</w:t>
      </w:r>
      <w:r w:rsidRPr="00DF5FCF">
        <w:rPr>
          <w:bCs/>
        </w:rPr>
        <w:tab/>
        <w:t>Challenging the hearing before the California Energy Commission (CEC).</w:t>
      </w:r>
    </w:p>
    <w:p w14:paraId="07A5FA13" w14:textId="77777777" w:rsidR="0070589C" w:rsidRPr="00DF5FCF" w:rsidRDefault="0070589C" w:rsidP="0070589C">
      <w:pPr>
        <w:pStyle w:val="BodyText"/>
        <w:jc w:val="both"/>
        <w:rPr>
          <w:bCs/>
        </w:rPr>
      </w:pPr>
    </w:p>
    <w:p w14:paraId="05775158" w14:textId="77777777" w:rsidR="0070589C" w:rsidRPr="00DF5FCF" w:rsidRDefault="0070589C" w:rsidP="0070589C">
      <w:pPr>
        <w:pStyle w:val="BodyText"/>
        <w:ind w:right="540" w:firstLine="720"/>
        <w:jc w:val="both"/>
        <w:rPr>
          <w:bCs/>
        </w:rPr>
      </w:pPr>
      <w:r>
        <w:rPr>
          <w:bCs/>
        </w:rPr>
        <w:t>On one hand, t</w:t>
      </w:r>
      <w:r w:rsidRPr="00DF5FCF">
        <w:rPr>
          <w:bCs/>
        </w:rPr>
        <w:t xml:space="preserve">his is a highly technical and legalistic process that is not on the community’s turf. </w:t>
      </w:r>
      <w:r>
        <w:rPr>
          <w:bCs/>
        </w:rPr>
        <w:t xml:space="preserve"> </w:t>
      </w:r>
      <w:r w:rsidRPr="00DF5FCF">
        <w:rPr>
          <w:bCs/>
        </w:rPr>
        <w:t xml:space="preserve">It is resource intensive and the community may lack the resources to find experts to testify. </w:t>
      </w:r>
      <w:r>
        <w:rPr>
          <w:bCs/>
        </w:rPr>
        <w:t xml:space="preserve"> </w:t>
      </w:r>
      <w:r w:rsidRPr="00DF5FCF">
        <w:rPr>
          <w:bCs/>
        </w:rPr>
        <w:t xml:space="preserve">It puts the battle in the hands of the lawyers, and uses a language that is not the language of the community. </w:t>
      </w:r>
      <w:r>
        <w:rPr>
          <w:bCs/>
        </w:rPr>
        <w:t xml:space="preserve"> </w:t>
      </w:r>
      <w:r w:rsidRPr="00DF5FCF">
        <w:rPr>
          <w:bCs/>
        </w:rPr>
        <w:t>It won’t address the root cause of why so many noxious uses are sited in the community in the first place. If the decision becomes slightly sounder environmentally, it may be that much harder to challenge in court</w:t>
      </w:r>
      <w:r>
        <w:rPr>
          <w:bCs/>
        </w:rPr>
        <w:t>.</w:t>
      </w:r>
    </w:p>
    <w:p w14:paraId="4D78576A" w14:textId="77777777" w:rsidR="0070589C" w:rsidRPr="00DF5FCF" w:rsidRDefault="0070589C" w:rsidP="0070589C">
      <w:pPr>
        <w:pStyle w:val="BodyText"/>
        <w:jc w:val="both"/>
        <w:rPr>
          <w:bCs/>
        </w:rPr>
      </w:pPr>
    </w:p>
    <w:p w14:paraId="1CBE4B10" w14:textId="77777777" w:rsidR="0070589C" w:rsidRPr="00DF5FCF" w:rsidRDefault="0070589C" w:rsidP="0070589C">
      <w:pPr>
        <w:pStyle w:val="BodyText"/>
        <w:ind w:right="540" w:firstLine="720"/>
        <w:jc w:val="both"/>
        <w:rPr>
          <w:bCs/>
        </w:rPr>
      </w:pPr>
      <w:r>
        <w:rPr>
          <w:bCs/>
        </w:rPr>
        <w:t xml:space="preserve">On the other hand, a hearing </w:t>
      </w:r>
      <w:r w:rsidRPr="00DF5FCF">
        <w:rPr>
          <w:bCs/>
        </w:rPr>
        <w:t xml:space="preserve">may </w:t>
      </w:r>
      <w:r>
        <w:rPr>
          <w:bCs/>
        </w:rPr>
        <w:t xml:space="preserve">also </w:t>
      </w:r>
      <w:r w:rsidRPr="00DF5FCF">
        <w:rPr>
          <w:bCs/>
        </w:rPr>
        <w:t xml:space="preserve">be an opportunity to educate decisionmakers </w:t>
      </w:r>
      <w:r w:rsidRPr="00DF5FCF">
        <w:rPr>
          <w:bCs/>
        </w:rPr>
        <w:lastRenderedPageBreak/>
        <w:t xml:space="preserve">about environmental justice. </w:t>
      </w:r>
      <w:r>
        <w:rPr>
          <w:bCs/>
        </w:rPr>
        <w:t xml:space="preserve"> </w:t>
      </w:r>
      <w:r w:rsidRPr="00DF5FCF">
        <w:rPr>
          <w:bCs/>
        </w:rPr>
        <w:t xml:space="preserve">The community can try to introduce the testimony of community members with expertise about conditions in their community. </w:t>
      </w:r>
      <w:r>
        <w:rPr>
          <w:bCs/>
        </w:rPr>
        <w:t xml:space="preserve"> </w:t>
      </w:r>
      <w:r w:rsidRPr="00DF5FCF">
        <w:rPr>
          <w:bCs/>
        </w:rPr>
        <w:t xml:space="preserve">It may provide an opportunity to organize for the community. </w:t>
      </w:r>
      <w:r>
        <w:rPr>
          <w:bCs/>
        </w:rPr>
        <w:t xml:space="preserve"> </w:t>
      </w:r>
      <w:r w:rsidRPr="00DF5FCF">
        <w:rPr>
          <w:bCs/>
        </w:rPr>
        <w:t>If successful, the hearing process could lead the Commission to add more mitigation or select an alternative on Port-owned property, meaning that locally elected officials – who are much more politically responsive than the CEC – would have approval authority.</w:t>
      </w:r>
    </w:p>
    <w:p w14:paraId="4B525837" w14:textId="77777777" w:rsidR="0070589C" w:rsidRPr="00DF5FCF" w:rsidRDefault="0070589C" w:rsidP="0070589C">
      <w:pPr>
        <w:pStyle w:val="BodyText"/>
        <w:jc w:val="both"/>
        <w:rPr>
          <w:bCs/>
        </w:rPr>
      </w:pPr>
      <w:r w:rsidRPr="00DF5FCF">
        <w:rPr>
          <w:bCs/>
        </w:rPr>
        <w:t xml:space="preserve"> </w:t>
      </w:r>
    </w:p>
    <w:p w14:paraId="310F00AF" w14:textId="77777777" w:rsidR="0070589C" w:rsidRPr="00DF5FCF" w:rsidRDefault="0070589C" w:rsidP="0070589C">
      <w:pPr>
        <w:pStyle w:val="BodyText"/>
        <w:ind w:right="540"/>
        <w:jc w:val="both"/>
        <w:rPr>
          <w:bCs/>
        </w:rPr>
      </w:pPr>
      <w:r w:rsidRPr="00DF5FCF">
        <w:rPr>
          <w:bCs/>
        </w:rPr>
        <w:t>2.</w:t>
      </w:r>
      <w:r w:rsidRPr="00DF5FCF">
        <w:rPr>
          <w:bCs/>
        </w:rPr>
        <w:tab/>
        <w:t xml:space="preserve">File a complaint under Title VI of the Civil Rights Act. </w:t>
      </w:r>
      <w:r>
        <w:rPr>
          <w:bCs/>
        </w:rPr>
        <w:t xml:space="preserve"> </w:t>
      </w:r>
      <w:r w:rsidRPr="00DF5FCF">
        <w:rPr>
          <w:bCs/>
        </w:rPr>
        <w:t xml:space="preserve">This raises many of </w:t>
      </w:r>
      <w:r>
        <w:rPr>
          <w:bCs/>
        </w:rPr>
        <w:t xml:space="preserve">the </w:t>
      </w:r>
      <w:r w:rsidRPr="00DF5FCF">
        <w:rPr>
          <w:bCs/>
        </w:rPr>
        <w:t xml:space="preserve">issues </w:t>
      </w:r>
      <w:r>
        <w:rPr>
          <w:bCs/>
        </w:rPr>
        <w:t>discussed in this chapter</w:t>
      </w:r>
      <w:r w:rsidRPr="00DF5FCF">
        <w:rPr>
          <w:bCs/>
        </w:rPr>
        <w:t xml:space="preserve"> with respect to the efficacy of litigation in environmental justice controversies.</w:t>
      </w:r>
    </w:p>
    <w:p w14:paraId="279A1716" w14:textId="77777777" w:rsidR="0070589C" w:rsidRPr="00DF5FCF" w:rsidRDefault="0070589C" w:rsidP="0070589C">
      <w:pPr>
        <w:pStyle w:val="BodyText"/>
        <w:jc w:val="both"/>
        <w:rPr>
          <w:bCs/>
        </w:rPr>
      </w:pPr>
    </w:p>
    <w:p w14:paraId="5D7474D7" w14:textId="77777777" w:rsidR="0070589C" w:rsidRPr="00DF5FCF" w:rsidRDefault="0070589C" w:rsidP="0070589C">
      <w:pPr>
        <w:pStyle w:val="BodyText"/>
        <w:ind w:right="540"/>
        <w:jc w:val="both"/>
        <w:rPr>
          <w:bCs/>
        </w:rPr>
      </w:pPr>
      <w:r w:rsidRPr="00DF5FCF">
        <w:rPr>
          <w:bCs/>
        </w:rPr>
        <w:t>3.</w:t>
      </w:r>
      <w:r w:rsidRPr="00DF5FCF">
        <w:rPr>
          <w:bCs/>
        </w:rPr>
        <w:tab/>
        <w:t xml:space="preserve">Organizing strategies. One possibility is to engage in the type of community outreach/house meeting/letter writing campaign that Luke Cole carried out in Kettleman City (see Text, pp. 246-250). </w:t>
      </w:r>
      <w:r>
        <w:rPr>
          <w:bCs/>
        </w:rPr>
        <w:t xml:space="preserve"> </w:t>
      </w:r>
      <w:r w:rsidRPr="00DF5FCF">
        <w:rPr>
          <w:bCs/>
        </w:rPr>
        <w:t xml:space="preserve">This can have great benefits in terms of empowering the community and demonstrating its political strength. </w:t>
      </w:r>
      <w:r>
        <w:rPr>
          <w:bCs/>
        </w:rPr>
        <w:t xml:space="preserve"> </w:t>
      </w:r>
      <w:r w:rsidRPr="00DF5FCF">
        <w:rPr>
          <w:bCs/>
        </w:rPr>
        <w:t>Where the decisionmaker is a statewide appointed body, as the CEC is, the community may have little political leverage in influencing the final decision. Such a strategy is very time consuming, and is not necessarily one that lawyers are best-trained to carry out.</w:t>
      </w:r>
    </w:p>
    <w:p w14:paraId="57B351BE" w14:textId="77777777" w:rsidR="0070589C" w:rsidRPr="00DF5FCF" w:rsidRDefault="0070589C" w:rsidP="0070589C">
      <w:pPr>
        <w:pStyle w:val="BodyText"/>
        <w:rPr>
          <w:bCs/>
        </w:rPr>
      </w:pPr>
    </w:p>
    <w:p w14:paraId="1553C69C" w14:textId="77777777" w:rsidR="0070589C" w:rsidRPr="00DF5FCF" w:rsidRDefault="0070589C" w:rsidP="0070589C">
      <w:pPr>
        <w:pStyle w:val="BodyText"/>
        <w:rPr>
          <w:bCs/>
        </w:rPr>
      </w:pPr>
      <w:r w:rsidRPr="00DF5FCF">
        <w:rPr>
          <w:bCs/>
        </w:rPr>
        <w:t>4.</w:t>
      </w:r>
      <w:r w:rsidRPr="00DF5FCF">
        <w:rPr>
          <w:bCs/>
        </w:rPr>
        <w:tab/>
        <w:t>Political strategies:</w:t>
      </w:r>
    </w:p>
    <w:p w14:paraId="49F70751" w14:textId="77777777" w:rsidR="0070589C" w:rsidRPr="00DF5FCF" w:rsidRDefault="0070589C" w:rsidP="0070589C">
      <w:pPr>
        <w:pStyle w:val="BodyText"/>
        <w:jc w:val="both"/>
        <w:rPr>
          <w:bCs/>
        </w:rPr>
      </w:pPr>
    </w:p>
    <w:p w14:paraId="24E0948E" w14:textId="77777777" w:rsidR="0070589C" w:rsidRPr="00DF5FCF" w:rsidRDefault="0070589C" w:rsidP="0070589C">
      <w:pPr>
        <w:pStyle w:val="BodyText"/>
        <w:ind w:left="1440" w:right="540" w:hanging="720"/>
        <w:jc w:val="both"/>
        <w:rPr>
          <w:bCs/>
        </w:rPr>
      </w:pPr>
      <w:r w:rsidRPr="00DF5FCF">
        <w:rPr>
          <w:bCs/>
        </w:rPr>
        <w:t>A.</w:t>
      </w:r>
      <w:r w:rsidRPr="00DF5FCF">
        <w:rPr>
          <w:bCs/>
        </w:rPr>
        <w:tab/>
        <w:t>Inject the issue into the mayor’s race - ask each candidate to pledge opposition to the power plant.</w:t>
      </w:r>
    </w:p>
    <w:p w14:paraId="56AFD52A" w14:textId="77777777" w:rsidR="0070589C" w:rsidRPr="00DF5FCF" w:rsidRDefault="0070589C" w:rsidP="0070589C">
      <w:pPr>
        <w:pStyle w:val="BodyText"/>
        <w:jc w:val="both"/>
        <w:rPr>
          <w:bCs/>
        </w:rPr>
      </w:pPr>
    </w:p>
    <w:p w14:paraId="32919456" w14:textId="77777777" w:rsidR="0070589C" w:rsidRPr="00DF5FCF" w:rsidRDefault="0070589C" w:rsidP="0070589C">
      <w:pPr>
        <w:pStyle w:val="BodyText"/>
        <w:ind w:left="1440" w:right="630" w:hanging="720"/>
        <w:jc w:val="both"/>
        <w:rPr>
          <w:bCs/>
        </w:rPr>
      </w:pPr>
      <w:r w:rsidRPr="00DF5FCF">
        <w:rPr>
          <w:bCs/>
        </w:rPr>
        <w:t>B.</w:t>
      </w:r>
      <w:r w:rsidRPr="00DF5FCF">
        <w:rPr>
          <w:bCs/>
        </w:rPr>
        <w:tab/>
        <w:t>Prepare a “Toxics Profile” of the area, showing the concentration of polluting facilities in the neighborhood and comparing it to other parts of the City. This task is not strictly legal, but environmental lawyers, with their knowledge of databases about pollution sources, can help.</w:t>
      </w:r>
    </w:p>
    <w:p w14:paraId="15F4662F" w14:textId="77777777" w:rsidR="0070589C" w:rsidRPr="00DF5FCF" w:rsidRDefault="0070589C" w:rsidP="0070589C">
      <w:pPr>
        <w:pStyle w:val="BodyText"/>
        <w:jc w:val="both"/>
        <w:rPr>
          <w:bCs/>
        </w:rPr>
      </w:pPr>
    </w:p>
    <w:p w14:paraId="5C00E2BA" w14:textId="77777777" w:rsidR="0070589C" w:rsidRPr="00DF5FCF" w:rsidRDefault="0070589C" w:rsidP="0070589C">
      <w:pPr>
        <w:pStyle w:val="BodyText"/>
        <w:ind w:left="1440" w:right="540" w:hanging="720"/>
        <w:jc w:val="both"/>
        <w:rPr>
          <w:bCs/>
        </w:rPr>
      </w:pPr>
      <w:r w:rsidRPr="00DF5FCF">
        <w:rPr>
          <w:bCs/>
        </w:rPr>
        <w:t>C.</w:t>
      </w:r>
      <w:r w:rsidRPr="00DF5FCF">
        <w:rPr>
          <w:bCs/>
        </w:rPr>
        <w:tab/>
        <w:t>Pressure the City Health Department to investigate the incidence of cancer and other health problems in the area. This is largely a community driven process.</w:t>
      </w:r>
    </w:p>
    <w:p w14:paraId="2906E89E" w14:textId="77777777" w:rsidR="0070589C" w:rsidRPr="00DF5FCF" w:rsidRDefault="0070589C" w:rsidP="0070589C">
      <w:pPr>
        <w:pStyle w:val="BodyText"/>
        <w:jc w:val="both"/>
        <w:rPr>
          <w:bCs/>
        </w:rPr>
      </w:pPr>
    </w:p>
    <w:p w14:paraId="0916B039" w14:textId="77777777" w:rsidR="0070589C" w:rsidRPr="00DF5FCF" w:rsidRDefault="0070589C" w:rsidP="0070589C">
      <w:pPr>
        <w:pStyle w:val="BodyText"/>
        <w:ind w:left="1440" w:right="540" w:hanging="720"/>
        <w:jc w:val="both"/>
        <w:rPr>
          <w:bCs/>
        </w:rPr>
      </w:pPr>
      <w:r w:rsidRPr="00DF5FCF">
        <w:rPr>
          <w:bCs/>
        </w:rPr>
        <w:t>D.</w:t>
      </w:r>
      <w:r w:rsidRPr="00DF5FCF">
        <w:rPr>
          <w:bCs/>
        </w:rPr>
        <w:tab/>
        <w:t>Press for a legislative moratorium on siting any new facilities in the neighborhood until more information about the environmental and health conditions in the community is obtained. This is both a legal and political approach.</w:t>
      </w:r>
    </w:p>
    <w:p w14:paraId="46731E5F" w14:textId="77777777" w:rsidR="0070589C" w:rsidRPr="00DF5FCF" w:rsidRDefault="0070589C" w:rsidP="0070589C">
      <w:pPr>
        <w:pStyle w:val="BodyText"/>
        <w:rPr>
          <w:bCs/>
        </w:rPr>
      </w:pPr>
    </w:p>
    <w:p w14:paraId="49610E09" w14:textId="77777777" w:rsidR="0070589C" w:rsidRDefault="0070589C" w:rsidP="0070589C">
      <w:pPr>
        <w:pStyle w:val="BodyText"/>
        <w:ind w:right="540" w:firstLine="720"/>
        <w:jc w:val="both"/>
        <w:rPr>
          <w:bCs/>
        </w:rPr>
      </w:pPr>
      <w:r w:rsidRPr="00DF5FCF">
        <w:rPr>
          <w:bCs/>
        </w:rPr>
        <w:t xml:space="preserve">To highlight some of the conflicts that often arise in practice, you could add this additional real-life twist as well: </w:t>
      </w:r>
      <w:r>
        <w:rPr>
          <w:bCs/>
        </w:rPr>
        <w:t>w</w:t>
      </w:r>
      <w:r w:rsidRPr="00DF5FCF">
        <w:rPr>
          <w:bCs/>
        </w:rPr>
        <w:t xml:space="preserve">hat if, on closer examination, it turns out that some members in the group oppose the plant at all costs, while others are concerned about the project’s impacts, but will go along with it if the developer promises to offer the community jobs and follows through on its offer to provide the community with $13 million in mitigation? </w:t>
      </w:r>
      <w:r>
        <w:rPr>
          <w:bCs/>
        </w:rPr>
        <w:t xml:space="preserve"> </w:t>
      </w:r>
      <w:r w:rsidRPr="00DF5FCF">
        <w:rPr>
          <w:bCs/>
        </w:rPr>
        <w:t>Can you continue to represent the entire group?</w:t>
      </w:r>
    </w:p>
    <w:p w14:paraId="2B643BD9" w14:textId="77777777" w:rsidR="0070589C" w:rsidRDefault="0070589C" w:rsidP="0070589C">
      <w:pPr>
        <w:pStyle w:val="BodyText"/>
        <w:ind w:firstLine="720"/>
        <w:rPr>
          <w:bCs/>
        </w:rPr>
      </w:pPr>
    </w:p>
    <w:p w14:paraId="3F58BFBC" w14:textId="77777777" w:rsidR="0070589C" w:rsidRPr="00DF5FCF" w:rsidRDefault="0070589C" w:rsidP="0070589C">
      <w:pPr>
        <w:pStyle w:val="BodyText"/>
        <w:ind w:right="540" w:firstLine="720"/>
        <w:jc w:val="both"/>
        <w:rPr>
          <w:bCs/>
        </w:rPr>
      </w:pPr>
      <w:r w:rsidRPr="00DF5FCF">
        <w:rPr>
          <w:bCs/>
        </w:rPr>
        <w:t xml:space="preserve">In the real case on which this hypo is based, lawyers and law students from Golden </w:t>
      </w:r>
      <w:r w:rsidRPr="00DF5FCF">
        <w:rPr>
          <w:bCs/>
        </w:rPr>
        <w:lastRenderedPageBreak/>
        <w:t>Gate’s Environmental Law and Justice Clinic, B</w:t>
      </w:r>
      <w:r>
        <w:rPr>
          <w:bCs/>
        </w:rPr>
        <w:t>erkeley Law’</w:t>
      </w:r>
      <w:r w:rsidRPr="00DF5FCF">
        <w:rPr>
          <w:bCs/>
        </w:rPr>
        <w:t xml:space="preserve">s Environmental Law Community Clinic, and the San Francisco Lawyers Committee for Civil Rights used a multi- pronged legal, political, and organizing strategy, led by community members. </w:t>
      </w:r>
      <w:r>
        <w:rPr>
          <w:bCs/>
        </w:rPr>
        <w:t xml:space="preserve"> </w:t>
      </w:r>
      <w:r w:rsidRPr="00DF5FCF">
        <w:rPr>
          <w:bCs/>
        </w:rPr>
        <w:t xml:space="preserve">The lawyers challenged the siting decision before the CEC, and were able to introduce testimony from community members and other environmental justice activists. </w:t>
      </w:r>
      <w:r>
        <w:rPr>
          <w:bCs/>
        </w:rPr>
        <w:t xml:space="preserve"> </w:t>
      </w:r>
      <w:r w:rsidRPr="00DF5FCF">
        <w:rPr>
          <w:bCs/>
        </w:rPr>
        <w:t xml:space="preserve">Community members raised the issue with the mayoral candidates, all of whom came out in opposition to the project. </w:t>
      </w:r>
      <w:r>
        <w:rPr>
          <w:bCs/>
        </w:rPr>
        <w:t xml:space="preserve"> </w:t>
      </w:r>
      <w:r w:rsidRPr="00DF5FCF">
        <w:rPr>
          <w:bCs/>
        </w:rPr>
        <w:t>Law students also prepared a “toxics profile” graphically depicting disproportionate exposure</w:t>
      </w:r>
      <w:r>
        <w:rPr>
          <w:bCs/>
        </w:rPr>
        <w:t>s</w:t>
      </w:r>
      <w:r w:rsidRPr="00DF5FCF">
        <w:rPr>
          <w:bCs/>
        </w:rPr>
        <w:t xml:space="preserve"> that was the basis for media coverage and hearings before the local board of supervisors. </w:t>
      </w:r>
      <w:r>
        <w:rPr>
          <w:bCs/>
        </w:rPr>
        <w:t xml:space="preserve"> </w:t>
      </w:r>
      <w:r w:rsidRPr="00DF5FCF">
        <w:rPr>
          <w:bCs/>
        </w:rPr>
        <w:t>Community</w:t>
      </w:r>
      <w:r>
        <w:rPr>
          <w:bCs/>
        </w:rPr>
        <w:t xml:space="preserve"> </w:t>
      </w:r>
      <w:r w:rsidRPr="00DF5FCF">
        <w:rPr>
          <w:bCs/>
        </w:rPr>
        <w:t xml:space="preserve">members successfully lobbied the City Health Department to conduct a health effects study, which showed levels of cancer twice that of other Bay Area communities. </w:t>
      </w:r>
      <w:r>
        <w:rPr>
          <w:bCs/>
        </w:rPr>
        <w:t xml:space="preserve"> </w:t>
      </w:r>
      <w:r w:rsidRPr="00DF5FCF">
        <w:rPr>
          <w:bCs/>
        </w:rPr>
        <w:t>The CEC approved the project, but at the alternative site owned by the Port of San Francisco.</w:t>
      </w:r>
      <w:r>
        <w:rPr>
          <w:bCs/>
        </w:rPr>
        <w:t xml:space="preserve"> </w:t>
      </w:r>
      <w:r w:rsidRPr="00DF5FCF">
        <w:rPr>
          <w:bCs/>
        </w:rPr>
        <w:t xml:space="preserve"> The San Francisco Board of Supervisors, in the face of strong community pressure, voted not to grant a lease for the project, and it was killed.</w:t>
      </w:r>
    </w:p>
    <w:p w14:paraId="4AC06936" w14:textId="77777777" w:rsidR="0070589C" w:rsidRDefault="0070589C" w:rsidP="0070589C">
      <w:pPr>
        <w:pStyle w:val="BodyText"/>
        <w:rPr>
          <w:b/>
        </w:rPr>
      </w:pPr>
    </w:p>
    <w:p w14:paraId="52911542" w14:textId="77777777" w:rsidR="0070589C" w:rsidRPr="00C13864" w:rsidRDefault="0070589C" w:rsidP="0070589C">
      <w:pPr>
        <w:pStyle w:val="BodyText"/>
        <w:rPr>
          <w:b/>
        </w:rPr>
      </w:pPr>
      <w:r w:rsidRPr="00C13864">
        <w:rPr>
          <w:b/>
        </w:rPr>
        <w:t>1.  Environmental Justice Lawyering</w:t>
      </w:r>
    </w:p>
    <w:p w14:paraId="22E95A3F" w14:textId="77777777" w:rsidR="0070589C" w:rsidRDefault="0070589C" w:rsidP="0070589C">
      <w:pPr>
        <w:pStyle w:val="BodyText"/>
        <w:rPr>
          <w:b/>
        </w:rPr>
      </w:pPr>
      <w:r>
        <w:rPr>
          <w:b/>
        </w:rPr>
        <w:tab/>
      </w:r>
    </w:p>
    <w:p w14:paraId="6D37F17C" w14:textId="77777777" w:rsidR="0070589C" w:rsidRDefault="0070589C" w:rsidP="0070589C">
      <w:pPr>
        <w:pStyle w:val="BodyText"/>
        <w:ind w:right="540"/>
        <w:jc w:val="both"/>
        <w:rPr>
          <w:bCs/>
        </w:rPr>
      </w:pPr>
      <w:r>
        <w:rPr>
          <w:bCs/>
        </w:rPr>
        <w:tab/>
        <w:t xml:space="preserve">Francis Calpotura’s article, </w:t>
      </w:r>
      <w:r>
        <w:rPr>
          <w:bCs/>
          <w:i/>
          <w:iCs/>
        </w:rPr>
        <w:t>Why the Law?</w:t>
      </w:r>
      <w:r>
        <w:rPr>
          <w:bCs/>
        </w:rPr>
        <w:t xml:space="preserve"> provides an interesting view of the law from a community organizing perspective.  This tension between the most “effective” means of advocacy still exists and can sometimes cause rifts between environmental groups and communities.  The excerpt is brief, but gets to the heart of disagreements that often arise.  </w:t>
      </w:r>
      <w:r w:rsidRPr="00DF5FCF">
        <w:rPr>
          <w:bCs/>
        </w:rPr>
        <w:t xml:space="preserve">We find that one of the most difficult issues for law students to come to grips with is the ambivalent and somewhat distrustful relationship environmental justice activists have with lawyers, including well-meaning, public interest attorneys, an issue explored by Calpotura. </w:t>
      </w:r>
      <w:r>
        <w:rPr>
          <w:bCs/>
        </w:rPr>
        <w:t xml:space="preserve"> </w:t>
      </w:r>
    </w:p>
    <w:p w14:paraId="163810A5" w14:textId="77777777" w:rsidR="0070589C" w:rsidRDefault="0070589C" w:rsidP="0070589C">
      <w:pPr>
        <w:pStyle w:val="BodyText"/>
        <w:rPr>
          <w:bCs/>
        </w:rPr>
      </w:pPr>
    </w:p>
    <w:p w14:paraId="7FE3414F" w14:textId="77777777" w:rsidR="0070589C" w:rsidRPr="00FA428E" w:rsidRDefault="0070589C" w:rsidP="0070589C">
      <w:pPr>
        <w:pStyle w:val="BodyText"/>
        <w:jc w:val="center"/>
        <w:rPr>
          <w:bCs/>
          <w:i/>
          <w:iCs/>
          <w:sz w:val="28"/>
          <w:szCs w:val="28"/>
        </w:rPr>
      </w:pPr>
      <w:r w:rsidRPr="00FA428E">
        <w:rPr>
          <w:b/>
          <w:i/>
          <w:iCs/>
          <w:sz w:val="28"/>
          <w:szCs w:val="28"/>
        </w:rPr>
        <w:t>Notes and Questions</w:t>
      </w:r>
    </w:p>
    <w:p w14:paraId="4C4D7CD1" w14:textId="77777777" w:rsidR="0070589C" w:rsidRPr="00DF5FCF" w:rsidRDefault="0070589C" w:rsidP="0070589C">
      <w:pPr>
        <w:pStyle w:val="BodyText"/>
        <w:rPr>
          <w:bCs/>
        </w:rPr>
      </w:pPr>
    </w:p>
    <w:p w14:paraId="53BA4759" w14:textId="77777777" w:rsidR="0070589C" w:rsidRDefault="0070589C" w:rsidP="0070589C">
      <w:pPr>
        <w:pStyle w:val="BodyText"/>
        <w:ind w:right="540"/>
        <w:jc w:val="both"/>
        <w:rPr>
          <w:bCs/>
        </w:rPr>
      </w:pPr>
      <w:r w:rsidRPr="00FA428E">
        <w:rPr>
          <w:b/>
        </w:rPr>
        <w:t>1.  The effect(iveness) of litigation.</w:t>
      </w:r>
      <w:r>
        <w:rPr>
          <w:b/>
        </w:rPr>
        <w:t xml:space="preserve">  </w:t>
      </w:r>
      <w:r>
        <w:rPr>
          <w:bCs/>
        </w:rPr>
        <w:t>This</w:t>
      </w:r>
      <w:r w:rsidRPr="00DF5FCF">
        <w:rPr>
          <w:bCs/>
        </w:rPr>
        <w:t xml:space="preserve"> excerpt (as well as the Luke Cole excerpt</w:t>
      </w:r>
      <w:r>
        <w:rPr>
          <w:bCs/>
        </w:rPr>
        <w:t xml:space="preserve"> that immediately follows)</w:t>
      </w:r>
      <w:r w:rsidRPr="00DF5FCF">
        <w:rPr>
          <w:bCs/>
        </w:rPr>
        <w:t xml:space="preserve"> helps raise important questions about the assumption, often well-ingrained among students, that litigation is the best way to obtain a decisive victory for a client.</w:t>
      </w:r>
    </w:p>
    <w:p w14:paraId="2C5010FA" w14:textId="77777777" w:rsidR="0070589C" w:rsidRDefault="0070589C" w:rsidP="0070589C">
      <w:pPr>
        <w:pStyle w:val="BodyText"/>
        <w:jc w:val="both"/>
        <w:rPr>
          <w:bCs/>
        </w:rPr>
      </w:pPr>
    </w:p>
    <w:p w14:paraId="16A81306" w14:textId="77777777" w:rsidR="0070589C" w:rsidRDefault="0070589C" w:rsidP="0070589C">
      <w:pPr>
        <w:pStyle w:val="BodyText"/>
        <w:ind w:right="540"/>
        <w:jc w:val="both"/>
        <w:rPr>
          <w:bCs/>
        </w:rPr>
      </w:pPr>
      <w:r w:rsidRPr="00DC60FA">
        <w:rPr>
          <w:b/>
        </w:rPr>
        <w:t>2.  What role should be played by lawyers</w:t>
      </w:r>
      <w:r>
        <w:rPr>
          <w:b/>
        </w:rPr>
        <w:t>.</w:t>
      </w:r>
      <w:r>
        <w:rPr>
          <w:bCs/>
        </w:rPr>
        <w:t xml:space="preserve">  This note bridges the Calpotura excerpt with Luke Cole’s excerpt, and students could inquire into whether Luke Cole’s approach resolves the tensions with community organizing goals and tactics.  </w:t>
      </w:r>
      <w:r w:rsidRPr="00DF5FCF">
        <w:rPr>
          <w:bCs/>
        </w:rPr>
        <w:t xml:space="preserve">One point to remind students about is that many environmental laws – such as the National Environmental Policy Act (NEPA) – are procedural, meaning that a challenged project can go forward if procedural flaws raised by project opponents are remedied. </w:t>
      </w:r>
      <w:r>
        <w:rPr>
          <w:bCs/>
        </w:rPr>
        <w:t xml:space="preserve"> </w:t>
      </w:r>
      <w:r w:rsidRPr="00DF5FCF">
        <w:rPr>
          <w:bCs/>
        </w:rPr>
        <w:t>Likewise, even successful challenges to proposed permits may result in somewhat less environmentally damaging projects going forward, rather than outright rejection of a project.</w:t>
      </w:r>
      <w:r>
        <w:rPr>
          <w:bCs/>
        </w:rPr>
        <w:t xml:space="preserve">  </w:t>
      </w:r>
    </w:p>
    <w:p w14:paraId="48EE9C9A" w14:textId="77777777" w:rsidR="0070589C" w:rsidRDefault="0070589C" w:rsidP="0070589C">
      <w:pPr>
        <w:pStyle w:val="BodyText"/>
        <w:jc w:val="both"/>
        <w:rPr>
          <w:bCs/>
        </w:rPr>
      </w:pPr>
    </w:p>
    <w:p w14:paraId="04FAAE78" w14:textId="77777777" w:rsidR="0070589C" w:rsidRDefault="0070589C" w:rsidP="0070589C">
      <w:pPr>
        <w:pStyle w:val="BodyText"/>
        <w:ind w:right="540" w:firstLine="720"/>
        <w:jc w:val="both"/>
        <w:rPr>
          <w:bCs/>
        </w:rPr>
      </w:pPr>
      <w:r>
        <w:rPr>
          <w:bCs/>
        </w:rPr>
        <w:t xml:space="preserve">Students should take special note of Luke Cole’s article, </w:t>
      </w:r>
      <w:r w:rsidRPr="00DC60FA">
        <w:rPr>
          <w:bCs/>
          <w:i/>
          <w:iCs/>
        </w:rPr>
        <w:t>Empowerment as the Key to Environmental Protection: The Need for Environmental Poverty Law</w:t>
      </w:r>
      <w:r>
        <w:rPr>
          <w:bCs/>
        </w:rPr>
        <w:t xml:space="preserve">, that not only addresses these community organizer concerns, but also establishes a role for the lawyer in the context of an environmental justice campaign that places community empowerment at the core.  To this day, the three questions for effective advocacy that Luke Cole discusses still form the basis of many environmental justice organizations’ decisions to pursue particular advocacy </w:t>
      </w:r>
      <w:r>
        <w:rPr>
          <w:bCs/>
        </w:rPr>
        <w:lastRenderedPageBreak/>
        <w:t xml:space="preserve">avenues.  </w:t>
      </w:r>
    </w:p>
    <w:p w14:paraId="2003E200" w14:textId="77777777" w:rsidR="0070589C" w:rsidRDefault="0070589C" w:rsidP="0070589C">
      <w:pPr>
        <w:pStyle w:val="BodyText"/>
        <w:ind w:firstLine="720"/>
        <w:jc w:val="both"/>
        <w:rPr>
          <w:bCs/>
        </w:rPr>
      </w:pPr>
    </w:p>
    <w:p w14:paraId="5001DA83" w14:textId="77777777" w:rsidR="0070589C" w:rsidRPr="00DF5FCF" w:rsidRDefault="0070589C" w:rsidP="0070589C">
      <w:pPr>
        <w:pStyle w:val="BodyText"/>
        <w:ind w:right="540" w:firstLine="720"/>
        <w:jc w:val="both"/>
        <w:rPr>
          <w:bCs/>
        </w:rPr>
      </w:pPr>
      <w:r w:rsidRPr="00DF5FCF">
        <w:rPr>
          <w:bCs/>
        </w:rPr>
        <w:t>Luke Cole and Sheila Foster provide some fascinating additional background about the public hearing on the proposed Kettleman City incinerator described in the text:</w:t>
      </w:r>
    </w:p>
    <w:p w14:paraId="7228BC7D" w14:textId="77777777" w:rsidR="0070589C" w:rsidRPr="00DF5FCF" w:rsidRDefault="0070589C" w:rsidP="0070589C">
      <w:pPr>
        <w:pStyle w:val="BodyText"/>
        <w:jc w:val="both"/>
        <w:rPr>
          <w:bCs/>
        </w:rPr>
      </w:pPr>
      <w:r w:rsidRPr="00DF5FCF">
        <w:rPr>
          <w:bCs/>
        </w:rPr>
        <w:t xml:space="preserve"> </w:t>
      </w:r>
    </w:p>
    <w:p w14:paraId="1FD3ECA4" w14:textId="77777777" w:rsidR="0070589C" w:rsidRPr="00DF5FCF" w:rsidRDefault="0070589C" w:rsidP="0070589C">
      <w:pPr>
        <w:pStyle w:val="BodyText"/>
        <w:ind w:right="540" w:firstLine="720"/>
        <w:jc w:val="both"/>
        <w:rPr>
          <w:bCs/>
        </w:rPr>
      </w:pPr>
      <w:r w:rsidRPr="00DF5FCF">
        <w:rPr>
          <w:bCs/>
        </w:rPr>
        <w:t>The public hearing on the incinerator was scheduled not in Kettleman City but forty miles away, in the county seat of Hanford. It was held in the largest venue in Kings County, the County Fairground building, which is about the size of a football field. The hearing room was set up with a raised dais in the front, with a table at which sat the Planning Commission, looking down on the room. Then there was an open space; beyond that, two microphones set up for the public. Behind the microphones were about fifty rows of seats, and there were some bleacher seats at the back of the room. Behind the bleachers was empty concrete floor back to the very rear of the auditorium, about 300 feet from the Planning Commission.</w:t>
      </w:r>
    </w:p>
    <w:p w14:paraId="202A1257" w14:textId="77777777" w:rsidR="0070589C" w:rsidRPr="00DF5FCF" w:rsidRDefault="0070589C" w:rsidP="0070589C">
      <w:pPr>
        <w:pStyle w:val="BodyText"/>
        <w:jc w:val="both"/>
        <w:rPr>
          <w:bCs/>
        </w:rPr>
      </w:pPr>
    </w:p>
    <w:p w14:paraId="090E6761" w14:textId="77777777" w:rsidR="0070589C" w:rsidRDefault="0070589C" w:rsidP="0070589C">
      <w:pPr>
        <w:pStyle w:val="BodyText"/>
        <w:ind w:right="540" w:firstLine="720"/>
        <w:jc w:val="both"/>
        <w:rPr>
          <w:bCs/>
        </w:rPr>
      </w:pPr>
      <w:r w:rsidRPr="00DF5FCF">
        <w:rPr>
          <w:bCs/>
        </w:rPr>
        <w:t>Kettleman City residents showed up at the meeting in force. About 200 people came by bus and carpool from Kettleman City, and, as one o</w:t>
      </w:r>
      <w:r>
        <w:rPr>
          <w:bCs/>
        </w:rPr>
        <w:t>f</w:t>
      </w:r>
      <w:r w:rsidRPr="00DF5FCF">
        <w:rPr>
          <w:bCs/>
        </w:rPr>
        <w:t xml:space="preserve"> their leaders made clear, “</w:t>
      </w:r>
      <w:r>
        <w:rPr>
          <w:bCs/>
        </w:rPr>
        <w:t>[W]</w:t>
      </w:r>
      <w:r w:rsidRPr="00DF5FCF">
        <w:rPr>
          <w:bCs/>
        </w:rPr>
        <w:t>e’re here, we want to testify on this project, and we brought our own translator.” The chair of the Kings County Planning Commission looked down on the crowd and said, “That request has been denied. The translation is taking place in the back of the room and it won’t happen up here.” Residents looked at where the Planning Commissioner was pointin</w:t>
      </w:r>
      <w:r>
        <w:rPr>
          <w:bCs/>
        </w:rPr>
        <w:t>g;</w:t>
      </w:r>
      <w:r w:rsidRPr="00DF5FCF">
        <w:rPr>
          <w:bCs/>
        </w:rPr>
        <w:t xml:space="preserve"> they looked from the Planning Commission up on their dais, they looked at the open space and the microphones, they looked at all the rows of chairs, and they looked at the bleachers. And then they looked way back behind the bleachers, nearly at the rear of the room, where there was one forlorn man sitting surrounded by a little circle of about twenty-five empty chairs. The Planning Commission chair said again, “Why don’t you go back there? There are monitors back there.  We are all in the same room.”  The 200 people from Kettleman City looked around, and they looked at the back of the room at those twenty-five chairs, and they looked at the empty chairs up front, and they said, “</w:t>
      </w:r>
      <w:r>
        <w:rPr>
          <w:bCs/>
        </w:rPr>
        <w:t>a</w:t>
      </w:r>
      <w:r w:rsidRPr="00DF5FCF">
        <w:rPr>
          <w:bCs/>
        </w:rPr>
        <w:t>delante, adelante” (“forward, forward”), and they moved up to the front of the room.</w:t>
      </w:r>
    </w:p>
    <w:p w14:paraId="08A0AA91" w14:textId="77777777" w:rsidR="0070589C" w:rsidRPr="00DF5FCF" w:rsidRDefault="0070589C" w:rsidP="0070589C">
      <w:pPr>
        <w:pStyle w:val="BodyText"/>
        <w:ind w:right="540" w:firstLine="720"/>
        <w:jc w:val="both"/>
        <w:rPr>
          <w:bCs/>
        </w:rPr>
      </w:pPr>
    </w:p>
    <w:p w14:paraId="16BC243E" w14:textId="77777777" w:rsidR="0070589C" w:rsidRPr="00DF5FCF" w:rsidRDefault="0070589C" w:rsidP="0070589C">
      <w:pPr>
        <w:pStyle w:val="BodyText"/>
        <w:ind w:right="540" w:firstLine="720"/>
        <w:jc w:val="both"/>
        <w:rPr>
          <w:bCs/>
        </w:rPr>
      </w:pPr>
      <w:r w:rsidRPr="00DF5FCF">
        <w:rPr>
          <w:bCs/>
        </w:rPr>
        <w:t>Residents testified in Spanish, from the front of the room, that the last time they had heard about people being sent to the back of the room was when African Americans were sent to the back of the bus–a policy dumped in the dustbin of history a generation ago. They said they weren’t going to stand for that. “The incident summed up what the County felt for the people out here in Kettleman City,” notes Maricela Alatorre. “Our rights were second to this huge corporation.”</w:t>
      </w:r>
      <w:r>
        <w:rPr>
          <w:bCs/>
        </w:rPr>
        <w:t xml:space="preserve"> </w:t>
      </w:r>
      <w:r w:rsidRPr="00725780">
        <w:rPr>
          <w:bCs/>
          <w:smallCaps/>
        </w:rPr>
        <w:t>Luke Cole &amp; Sheila Foster, From the Ground Up: Environmental Racism and the Rise of the Environmental Justice Movement</w:t>
      </w:r>
      <w:r>
        <w:rPr>
          <w:bCs/>
        </w:rPr>
        <w:t>,</w:t>
      </w:r>
      <w:r w:rsidRPr="00DF5FCF">
        <w:rPr>
          <w:bCs/>
        </w:rPr>
        <w:t xml:space="preserve"> 6-7 (2001).</w:t>
      </w:r>
    </w:p>
    <w:p w14:paraId="4AC70E67" w14:textId="77777777" w:rsidR="0070589C" w:rsidRPr="00DF5FCF" w:rsidRDefault="0070589C" w:rsidP="0070589C">
      <w:pPr>
        <w:pStyle w:val="BodyText"/>
        <w:rPr>
          <w:bCs/>
        </w:rPr>
      </w:pPr>
    </w:p>
    <w:p w14:paraId="518061E1" w14:textId="77777777" w:rsidR="0070589C" w:rsidRDefault="0070589C" w:rsidP="0070589C">
      <w:pPr>
        <w:pStyle w:val="BodyText"/>
        <w:jc w:val="center"/>
        <w:rPr>
          <w:bCs/>
          <w:i/>
          <w:iCs/>
          <w:sz w:val="28"/>
          <w:szCs w:val="28"/>
        </w:rPr>
      </w:pPr>
      <w:r w:rsidRPr="00FA428E">
        <w:rPr>
          <w:b/>
          <w:i/>
          <w:iCs/>
          <w:sz w:val="28"/>
          <w:szCs w:val="28"/>
        </w:rPr>
        <w:t>Notes and Questions</w:t>
      </w:r>
    </w:p>
    <w:p w14:paraId="4537D41F" w14:textId="77777777" w:rsidR="0070589C" w:rsidRPr="00DC60FA" w:rsidRDefault="0070589C" w:rsidP="0070589C">
      <w:pPr>
        <w:pStyle w:val="BodyText"/>
        <w:jc w:val="center"/>
        <w:rPr>
          <w:bCs/>
          <w:i/>
          <w:iCs/>
          <w:sz w:val="28"/>
          <w:szCs w:val="28"/>
        </w:rPr>
      </w:pPr>
    </w:p>
    <w:p w14:paraId="09D18BDF" w14:textId="77777777" w:rsidR="0070589C" w:rsidRDefault="0070589C" w:rsidP="0070589C">
      <w:pPr>
        <w:pStyle w:val="BodyText"/>
        <w:ind w:right="540" w:firstLine="720"/>
        <w:jc w:val="both"/>
        <w:rPr>
          <w:bCs/>
        </w:rPr>
      </w:pPr>
      <w:r w:rsidRPr="00DC60FA">
        <w:rPr>
          <w:b/>
        </w:rPr>
        <w:t>1.  Community empowerment.</w:t>
      </w:r>
      <w:r>
        <w:rPr>
          <w:bCs/>
        </w:rPr>
        <w:t xml:space="preserve">  The Kettleman City residents’ experience</w:t>
      </w:r>
      <w:r w:rsidRPr="00DF5FCF">
        <w:rPr>
          <w:bCs/>
        </w:rPr>
        <w:t xml:space="preserve"> should generate some interesting discussion.</w:t>
      </w:r>
      <w:r>
        <w:rPr>
          <w:bCs/>
        </w:rPr>
        <w:t xml:space="preserve"> </w:t>
      </w:r>
      <w:r w:rsidRPr="00DF5FCF">
        <w:rPr>
          <w:bCs/>
        </w:rPr>
        <w:t xml:space="preserve"> If empowerment is the goal, how do lawyers know how to accomplish it, particularly if they lack experience or training in this area? </w:t>
      </w:r>
      <w:r>
        <w:rPr>
          <w:bCs/>
        </w:rPr>
        <w:t xml:space="preserve"> </w:t>
      </w:r>
      <w:r w:rsidRPr="00DF5FCF">
        <w:rPr>
          <w:bCs/>
        </w:rPr>
        <w:t>Arguably</w:t>
      </w:r>
      <w:r>
        <w:rPr>
          <w:bCs/>
        </w:rPr>
        <w:t>,</w:t>
      </w:r>
      <w:r w:rsidRPr="00DF5FCF">
        <w:rPr>
          <w:bCs/>
        </w:rPr>
        <w:t xml:space="preserve"> community organizers are better equipped to carry out this task.</w:t>
      </w:r>
      <w:r>
        <w:rPr>
          <w:bCs/>
        </w:rPr>
        <w:t xml:space="preserve"> </w:t>
      </w:r>
      <w:r w:rsidRPr="00DF5FCF">
        <w:rPr>
          <w:bCs/>
        </w:rPr>
        <w:t xml:space="preserve"> On the other hand, lawyers can reorient their traditional approaches if they pursue strategies that are genuinely client-</w:t>
      </w:r>
      <w:r w:rsidRPr="00DF5FCF">
        <w:rPr>
          <w:bCs/>
        </w:rPr>
        <w:lastRenderedPageBreak/>
        <w:t>centered and client-driven. This client-centered approach contrasts sharply with the approach traditionally employed by national environmental organizations, which engage in issue-driven impact litigation.</w:t>
      </w:r>
      <w:r>
        <w:rPr>
          <w:bCs/>
        </w:rPr>
        <w:t xml:space="preserve">  </w:t>
      </w:r>
    </w:p>
    <w:p w14:paraId="46EF9EFC" w14:textId="77777777" w:rsidR="0070589C" w:rsidRDefault="0070589C" w:rsidP="0070589C">
      <w:pPr>
        <w:pStyle w:val="BodyText"/>
        <w:ind w:firstLine="720"/>
        <w:jc w:val="both"/>
        <w:rPr>
          <w:bCs/>
        </w:rPr>
      </w:pPr>
    </w:p>
    <w:p w14:paraId="71B3137E" w14:textId="77777777" w:rsidR="0070589C" w:rsidRPr="00DC60FA" w:rsidRDefault="0070589C" w:rsidP="0070589C">
      <w:pPr>
        <w:pStyle w:val="BodyText"/>
        <w:ind w:right="540" w:firstLine="720"/>
        <w:jc w:val="both"/>
        <w:rPr>
          <w:bCs/>
        </w:rPr>
      </w:pPr>
      <w:r>
        <w:rPr>
          <w:bCs/>
        </w:rPr>
        <w:t xml:space="preserve">Professor Helen Kang’s next article, </w:t>
      </w:r>
      <w:r>
        <w:rPr>
          <w:bCs/>
          <w:i/>
          <w:iCs/>
        </w:rPr>
        <w:t>Respect for Community Narratives of Environmental Injustice: The Dignity Right to Be Heard and Believed</w:t>
      </w:r>
      <w:r>
        <w:rPr>
          <w:bCs/>
        </w:rPr>
        <w:t xml:space="preserve">, could also foster this discussion.  Much like the events in Kettleman City, Professor Kang details the power of community narrative in the struggle for environmental justice in Bayview-Hunters Point in San Francisco.  Particularly relevant, Professor Kang connects the need to connect with clients and respect their dignity with the Black Lives Matter movement.  </w:t>
      </w:r>
    </w:p>
    <w:p w14:paraId="7DFFC2D4" w14:textId="77777777" w:rsidR="0070589C" w:rsidRDefault="0070589C" w:rsidP="0070589C">
      <w:pPr>
        <w:pStyle w:val="BodyText"/>
        <w:rPr>
          <w:bCs/>
        </w:rPr>
      </w:pPr>
    </w:p>
    <w:p w14:paraId="57E23B2C" w14:textId="77777777" w:rsidR="0070589C" w:rsidRDefault="0070589C" w:rsidP="0070589C">
      <w:pPr>
        <w:pStyle w:val="BodyText"/>
        <w:jc w:val="center"/>
        <w:rPr>
          <w:bCs/>
          <w:i/>
          <w:iCs/>
          <w:sz w:val="28"/>
          <w:szCs w:val="28"/>
        </w:rPr>
      </w:pPr>
      <w:r w:rsidRPr="00FA428E">
        <w:rPr>
          <w:b/>
          <w:i/>
          <w:iCs/>
          <w:sz w:val="28"/>
          <w:szCs w:val="28"/>
        </w:rPr>
        <w:t>Notes and Questions</w:t>
      </w:r>
    </w:p>
    <w:p w14:paraId="1D04E014" w14:textId="77777777" w:rsidR="0070589C" w:rsidRDefault="0070589C" w:rsidP="0070589C">
      <w:pPr>
        <w:pStyle w:val="BodyText"/>
        <w:rPr>
          <w:bCs/>
        </w:rPr>
      </w:pPr>
    </w:p>
    <w:p w14:paraId="5F15119E" w14:textId="77777777" w:rsidR="0070589C" w:rsidRDefault="0070589C" w:rsidP="0070589C">
      <w:pPr>
        <w:pStyle w:val="BodyText"/>
        <w:ind w:right="540" w:firstLine="720"/>
        <w:jc w:val="both"/>
        <w:rPr>
          <w:bCs/>
        </w:rPr>
      </w:pPr>
      <w:r w:rsidRPr="001C3D1B">
        <w:rPr>
          <w:b/>
        </w:rPr>
        <w:t>1.  Context and connections to other injustices.</w:t>
      </w:r>
      <w:r>
        <w:rPr>
          <w:b/>
        </w:rPr>
        <w:t xml:space="preserve">  </w:t>
      </w:r>
      <w:r>
        <w:rPr>
          <w:bCs/>
        </w:rPr>
        <w:t xml:space="preserve">No doubt every student will be aware of, if not participated in protests or marches for the Black Lives Matter movement.  This note asks students to consider the links between different campaigns, which all focus on combatting racial injustice.    </w:t>
      </w:r>
    </w:p>
    <w:p w14:paraId="4651B6A3" w14:textId="77777777" w:rsidR="0070589C" w:rsidRDefault="0070589C" w:rsidP="0070589C">
      <w:pPr>
        <w:pStyle w:val="BodyText"/>
        <w:ind w:firstLine="720"/>
        <w:jc w:val="both"/>
        <w:rPr>
          <w:bCs/>
        </w:rPr>
      </w:pPr>
    </w:p>
    <w:p w14:paraId="47D855B2" w14:textId="77777777" w:rsidR="0070589C" w:rsidRPr="009621F2" w:rsidRDefault="0070589C" w:rsidP="0070589C">
      <w:pPr>
        <w:pStyle w:val="BodyText"/>
        <w:ind w:right="540" w:firstLine="720"/>
        <w:jc w:val="both"/>
        <w:rPr>
          <w:bCs/>
        </w:rPr>
      </w:pPr>
      <w:r w:rsidRPr="001C3D1B">
        <w:rPr>
          <w:b/>
        </w:rPr>
        <w:t>2.  Radical lawyering.</w:t>
      </w:r>
      <w:r>
        <w:rPr>
          <w:b/>
        </w:rPr>
        <w:t xml:space="preserve">  </w:t>
      </w:r>
      <w:r>
        <w:rPr>
          <w:bCs/>
        </w:rPr>
        <w:t xml:space="preserve">This note details another </w:t>
      </w:r>
      <w:r w:rsidRPr="00DF5FCF">
        <w:rPr>
          <w:bCs/>
        </w:rPr>
        <w:t>very interesting example on which you could model a role</w:t>
      </w:r>
      <w:r>
        <w:rPr>
          <w:bCs/>
        </w:rPr>
        <w:t>-</w:t>
      </w:r>
      <w:r w:rsidRPr="00DF5FCF">
        <w:rPr>
          <w:bCs/>
        </w:rPr>
        <w:t>play</w:t>
      </w:r>
      <w:r>
        <w:rPr>
          <w:bCs/>
        </w:rPr>
        <w:t xml:space="preserve">.  </w:t>
      </w:r>
      <w:r w:rsidRPr="00DF5FCF">
        <w:rPr>
          <w:bCs/>
        </w:rPr>
        <w:t>The article</w:t>
      </w:r>
      <w:r>
        <w:rPr>
          <w:bCs/>
        </w:rPr>
        <w:t xml:space="preserve"> cited in the note</w:t>
      </w:r>
      <w:r w:rsidRPr="00DF5FCF">
        <w:rPr>
          <w:bCs/>
        </w:rPr>
        <w:t xml:space="preserve"> details the successful fight of Boston’s Chinatown community to resist a proposed parking garage for the New England Medical Center in their neighborhood.</w:t>
      </w:r>
      <w:r>
        <w:rPr>
          <w:bCs/>
        </w:rPr>
        <w:t xml:space="preserve"> </w:t>
      </w:r>
      <w:r w:rsidRPr="00DF5FCF">
        <w:rPr>
          <w:bCs/>
        </w:rPr>
        <w:t xml:space="preserve"> The article describes the multi- faceted community lawyering approach used in that battle</w:t>
      </w:r>
      <w:r>
        <w:rPr>
          <w:bCs/>
        </w:rPr>
        <w:t>;</w:t>
      </w:r>
      <w:r w:rsidRPr="00DF5FCF">
        <w:rPr>
          <w:bCs/>
        </w:rPr>
        <w:t xml:space="preserve"> “legal strategies were supplemented with political protests, media campaigns, neighborhood coalition-building, and political alliances with powerful environmental groups.”</w:t>
      </w:r>
      <w:r>
        <w:rPr>
          <w:bCs/>
        </w:rPr>
        <w:t xml:space="preserve">  Students could also consider, amidst shelter-in-place ordinances and COVID, how lawyers in, say, more urban areas, could gain the trust of and work with a community in a more rural and geographically distant area.</w:t>
      </w:r>
      <w:r w:rsidRPr="00DF5FCF">
        <w:rPr>
          <w:bCs/>
        </w:rPr>
        <w:t xml:space="preserve"> </w:t>
      </w:r>
    </w:p>
    <w:p w14:paraId="515C5645" w14:textId="77777777" w:rsidR="0070589C" w:rsidRDefault="0070589C" w:rsidP="0070589C">
      <w:pPr>
        <w:pStyle w:val="BodyText"/>
        <w:ind w:firstLine="720"/>
        <w:jc w:val="both"/>
        <w:rPr>
          <w:bCs/>
        </w:rPr>
      </w:pPr>
    </w:p>
    <w:p w14:paraId="5E666F47" w14:textId="77777777" w:rsidR="0070589C" w:rsidRDefault="0070589C" w:rsidP="0070589C">
      <w:pPr>
        <w:pStyle w:val="BodyText"/>
        <w:ind w:right="540" w:firstLine="720"/>
        <w:jc w:val="both"/>
        <w:rPr>
          <w:bCs/>
        </w:rPr>
      </w:pPr>
      <w:r w:rsidRPr="009621F2">
        <w:rPr>
          <w:b/>
        </w:rPr>
        <w:t>3.  Ethical considerations.</w:t>
      </w:r>
      <w:r>
        <w:rPr>
          <w:b/>
        </w:rPr>
        <w:t xml:space="preserve">  </w:t>
      </w:r>
      <w:r>
        <w:rPr>
          <w:bCs/>
        </w:rPr>
        <w:t xml:space="preserve">This note turns the student to the ethical considerations in “radical lawyering.”  </w:t>
      </w:r>
      <w:r w:rsidRPr="00DF5FCF">
        <w:rPr>
          <w:bCs/>
        </w:rPr>
        <w:t xml:space="preserve">As to the questions of confidentiality, </w:t>
      </w:r>
      <w:r>
        <w:rPr>
          <w:bCs/>
        </w:rPr>
        <w:t xml:space="preserve">consider that </w:t>
      </w:r>
      <w:r w:rsidRPr="00DF5FCF">
        <w:rPr>
          <w:bCs/>
        </w:rPr>
        <w:t xml:space="preserve">even before there is an actual written or express oral retainer agreement between an attorney and his/her client, the conduct of the parties may give rise to an attorney/client relationship, and the duty of confidentiality would apply. </w:t>
      </w:r>
      <w:r>
        <w:rPr>
          <w:bCs/>
        </w:rPr>
        <w:t xml:space="preserve"> </w:t>
      </w:r>
      <w:r w:rsidRPr="00DF5FCF">
        <w:rPr>
          <w:bCs/>
        </w:rPr>
        <w:t xml:space="preserve">In addition, the duty of confidentiality may attach when a lawyer agrees to consider whether or not an attorney/client relationship should be established. </w:t>
      </w:r>
      <w:r>
        <w:rPr>
          <w:bCs/>
        </w:rPr>
        <w:t xml:space="preserve"> </w:t>
      </w:r>
    </w:p>
    <w:p w14:paraId="1AC7EB4F" w14:textId="77777777" w:rsidR="0070589C" w:rsidRDefault="0070589C" w:rsidP="0070589C">
      <w:pPr>
        <w:pStyle w:val="BodyText"/>
        <w:ind w:firstLine="720"/>
        <w:jc w:val="both"/>
        <w:rPr>
          <w:bCs/>
        </w:rPr>
      </w:pPr>
    </w:p>
    <w:p w14:paraId="029AFA7D" w14:textId="77777777" w:rsidR="0070589C" w:rsidRDefault="0070589C" w:rsidP="0070589C">
      <w:pPr>
        <w:pStyle w:val="BodyText"/>
        <w:ind w:right="540" w:firstLine="720"/>
        <w:jc w:val="both"/>
        <w:rPr>
          <w:bCs/>
        </w:rPr>
      </w:pPr>
      <w:r>
        <w:rPr>
          <w:bCs/>
        </w:rPr>
        <w:t xml:space="preserve">Also, what if there is a planned and illegal protest?  </w:t>
      </w:r>
      <w:r w:rsidRPr="00DF5FCF">
        <w:rPr>
          <w:bCs/>
        </w:rPr>
        <w:t xml:space="preserve">Rule 1.6 of the ABA’s Model Rules of Professional Conduct authorizes lawyers to disclose information to prevent the client from committing a crime that is likely to result in “imminent death or substantial bodily harm.” Professor </w:t>
      </w:r>
      <w:r>
        <w:rPr>
          <w:bCs/>
        </w:rPr>
        <w:t xml:space="preserve">Irma </w:t>
      </w:r>
      <w:r w:rsidRPr="00DF5FCF">
        <w:rPr>
          <w:bCs/>
        </w:rPr>
        <w:t>Russell</w:t>
      </w:r>
      <w:r>
        <w:rPr>
          <w:bCs/>
        </w:rPr>
        <w:t xml:space="preserve">, co-author of </w:t>
      </w:r>
      <w:r w:rsidRPr="00CA605A">
        <w:rPr>
          <w:bCs/>
          <w:i/>
          <w:iCs/>
        </w:rPr>
        <w:t>Issues of Legal Ethics in Environmental Justice Matters</w:t>
      </w:r>
      <w:r>
        <w:rPr>
          <w:bCs/>
        </w:rPr>
        <w:t>, cited in the</w:t>
      </w:r>
      <w:r w:rsidRPr="00DF5FCF">
        <w:rPr>
          <w:bCs/>
        </w:rPr>
        <w:t xml:space="preserve"> note, </w:t>
      </w:r>
      <w:r>
        <w:rPr>
          <w:bCs/>
        </w:rPr>
        <w:t xml:space="preserve">highlights </w:t>
      </w:r>
      <w:r w:rsidRPr="00DF5FCF">
        <w:rPr>
          <w:bCs/>
        </w:rPr>
        <w:t xml:space="preserve">that most states have not adopted Rule 1.6 completely and therefore state rules on disclosure of confidential information vary </w:t>
      </w:r>
      <w:r>
        <w:rPr>
          <w:bCs/>
        </w:rPr>
        <w:t>considerably. For example,</w:t>
      </w:r>
      <w:r w:rsidRPr="00DF5FCF">
        <w:rPr>
          <w:bCs/>
        </w:rPr>
        <w:t xml:space="preserve"> a number</w:t>
      </w:r>
      <w:r>
        <w:rPr>
          <w:bCs/>
        </w:rPr>
        <w:t xml:space="preserve"> of states </w:t>
      </w:r>
      <w:r w:rsidRPr="00DF5FCF">
        <w:rPr>
          <w:bCs/>
        </w:rPr>
        <w:t xml:space="preserve">allow disclosure without regard to whether the harm suffered will be substantial. </w:t>
      </w:r>
      <w:r>
        <w:rPr>
          <w:bCs/>
        </w:rPr>
        <w:t xml:space="preserve"> </w:t>
      </w:r>
      <w:r w:rsidRPr="00DF5FCF">
        <w:rPr>
          <w:bCs/>
        </w:rPr>
        <w:t>She suggests that based on the same fact pattern, some states would require disclosure, while others would allow or forbid it.</w:t>
      </w:r>
    </w:p>
    <w:p w14:paraId="0E883726" w14:textId="77777777" w:rsidR="0070589C" w:rsidRPr="00DF5FCF" w:rsidRDefault="0070589C" w:rsidP="0070589C">
      <w:pPr>
        <w:pStyle w:val="BodyText"/>
        <w:ind w:right="540" w:firstLine="720"/>
        <w:jc w:val="both"/>
        <w:rPr>
          <w:bCs/>
        </w:rPr>
      </w:pPr>
    </w:p>
    <w:p w14:paraId="1AB866F4" w14:textId="77777777" w:rsidR="0070589C" w:rsidRPr="00DF5FCF" w:rsidRDefault="0070589C" w:rsidP="0070589C">
      <w:pPr>
        <w:pStyle w:val="BodyText"/>
        <w:ind w:right="540" w:firstLine="720"/>
        <w:jc w:val="both"/>
        <w:rPr>
          <w:bCs/>
        </w:rPr>
      </w:pPr>
      <w:r w:rsidRPr="00DF5FCF">
        <w:rPr>
          <w:bCs/>
        </w:rPr>
        <w:lastRenderedPageBreak/>
        <w:t xml:space="preserve">On the question of solicitation, a lawyer organizing clients could raise possible ethical concerns; Model Rule 7.3 prohibits many instances of direct contacts with potential clients. </w:t>
      </w:r>
      <w:r>
        <w:rPr>
          <w:bCs/>
        </w:rPr>
        <w:t xml:space="preserve"> </w:t>
      </w:r>
      <w:r w:rsidRPr="00DF5FCF">
        <w:rPr>
          <w:bCs/>
        </w:rPr>
        <w:t>The rule, however, only prohibits such contact when the profit motive is present and no prior relationship exists between the lawyer and the prospective client</w:t>
      </w:r>
      <w:r>
        <w:rPr>
          <w:bCs/>
        </w:rPr>
        <w:t>.</w:t>
      </w:r>
    </w:p>
    <w:p w14:paraId="2F526753" w14:textId="77777777" w:rsidR="0070589C" w:rsidRPr="00DF5FCF" w:rsidRDefault="0070589C" w:rsidP="0070589C">
      <w:pPr>
        <w:pStyle w:val="BodyText"/>
        <w:jc w:val="both"/>
        <w:rPr>
          <w:bCs/>
        </w:rPr>
      </w:pPr>
    </w:p>
    <w:p w14:paraId="075295FA" w14:textId="77777777" w:rsidR="0070589C" w:rsidRDefault="0070589C" w:rsidP="0070589C">
      <w:pPr>
        <w:pStyle w:val="BodyText"/>
        <w:ind w:right="540"/>
        <w:jc w:val="both"/>
        <w:rPr>
          <w:bCs/>
        </w:rPr>
      </w:pPr>
      <w:r>
        <w:rPr>
          <w:bCs/>
        </w:rPr>
        <w:tab/>
      </w:r>
      <w:r w:rsidRPr="00293745">
        <w:rPr>
          <w:b/>
        </w:rPr>
        <w:t>4.  Conflict of interest with community-based organization and community residents?</w:t>
      </w:r>
      <w:r>
        <w:rPr>
          <w:b/>
        </w:rPr>
        <w:t xml:space="preserve">  </w:t>
      </w:r>
      <w:r w:rsidRPr="00293745">
        <w:rPr>
          <w:bCs/>
        </w:rPr>
        <w:t>Despite the Model Rules,</w:t>
      </w:r>
      <w:r>
        <w:rPr>
          <w:b/>
        </w:rPr>
        <w:t xml:space="preserve"> </w:t>
      </w:r>
      <w:r>
        <w:rPr>
          <w:bCs/>
        </w:rPr>
        <w:t xml:space="preserve">this note calls on students to determine a question that is not precisely answered by the law, and the authors of the text are not aware of any case that answers this question.  Do grassroots organizations, if incorporated, take on an identity of their own, requiring zealous representation?  How would the students manage such a disagreement if it arose, and at the same time, maintain the overarching goal of community empowerment?   </w:t>
      </w:r>
    </w:p>
    <w:p w14:paraId="06503B7D" w14:textId="77777777" w:rsidR="0070589C" w:rsidRDefault="0070589C" w:rsidP="0070589C">
      <w:pPr>
        <w:pStyle w:val="BodyText"/>
        <w:jc w:val="both"/>
        <w:rPr>
          <w:bCs/>
        </w:rPr>
      </w:pPr>
    </w:p>
    <w:p w14:paraId="4F06EF92" w14:textId="77777777" w:rsidR="0070589C" w:rsidRPr="00084DC2" w:rsidRDefault="0070589C" w:rsidP="0070589C">
      <w:pPr>
        <w:pStyle w:val="BodyText"/>
        <w:ind w:right="540"/>
        <w:jc w:val="both"/>
        <w:rPr>
          <w:b/>
        </w:rPr>
      </w:pPr>
      <w:r>
        <w:rPr>
          <w:bCs/>
        </w:rPr>
        <w:tab/>
      </w:r>
      <w:r w:rsidRPr="00084DC2">
        <w:rPr>
          <w:b/>
        </w:rPr>
        <w:t>5.  Participatory vs. Power Models.</w:t>
      </w:r>
      <w:r>
        <w:rPr>
          <w:b/>
        </w:rPr>
        <w:t xml:space="preserve">  </w:t>
      </w:r>
      <w:r>
        <w:rPr>
          <w:bCs/>
        </w:rPr>
        <w:t xml:space="preserve">This note is self-explanatory and students could question whether there is a one-size-fits all answer. </w:t>
      </w:r>
      <w:r w:rsidRPr="00084DC2">
        <w:rPr>
          <w:b/>
        </w:rPr>
        <w:t xml:space="preserve">    </w:t>
      </w:r>
    </w:p>
    <w:p w14:paraId="5821809D" w14:textId="77777777" w:rsidR="0070589C" w:rsidRPr="00DF5FCF" w:rsidRDefault="0070589C" w:rsidP="0070589C">
      <w:pPr>
        <w:pStyle w:val="BodyText"/>
        <w:rPr>
          <w:bCs/>
        </w:rPr>
      </w:pPr>
    </w:p>
    <w:p w14:paraId="184FF94E" w14:textId="77777777" w:rsidR="0070589C" w:rsidRPr="00C13864" w:rsidRDefault="0070589C" w:rsidP="0070589C">
      <w:pPr>
        <w:pStyle w:val="BodyText"/>
        <w:ind w:firstLine="720"/>
        <w:rPr>
          <w:b/>
        </w:rPr>
      </w:pPr>
      <w:r w:rsidRPr="00C13864">
        <w:rPr>
          <w:b/>
        </w:rPr>
        <w:t>2.  A Note on Environmental Law Clinics</w:t>
      </w:r>
    </w:p>
    <w:p w14:paraId="4F1BD8E3" w14:textId="77777777" w:rsidR="0070589C" w:rsidRDefault="0070589C" w:rsidP="0070589C">
      <w:pPr>
        <w:pStyle w:val="BodyText"/>
        <w:rPr>
          <w:bCs/>
        </w:rPr>
      </w:pPr>
    </w:p>
    <w:p w14:paraId="7A5C551A" w14:textId="77777777" w:rsidR="0070589C" w:rsidRDefault="0070589C" w:rsidP="0070589C">
      <w:pPr>
        <w:pStyle w:val="BodyText"/>
        <w:ind w:right="540"/>
        <w:jc w:val="both"/>
        <w:rPr>
          <w:bCs/>
        </w:rPr>
      </w:pPr>
      <w:r>
        <w:rPr>
          <w:bCs/>
        </w:rPr>
        <w:tab/>
        <w:t xml:space="preserve">This brief section of the chapter explores the unfortunate attacks from industry in response to successful advocacy.  Students should look at the practical effect of the revised Louisiana student practice rules on the Tulane Environmental Law Clinic’s ability to practice “radical lawyering” illustrated in the first section of the chapter.  </w:t>
      </w:r>
    </w:p>
    <w:p w14:paraId="4339C214" w14:textId="77777777" w:rsidR="0070589C" w:rsidRDefault="0070589C" w:rsidP="0070589C">
      <w:pPr>
        <w:pStyle w:val="BodyText"/>
        <w:rPr>
          <w:bCs/>
        </w:rPr>
      </w:pPr>
    </w:p>
    <w:p w14:paraId="19D74805" w14:textId="77777777" w:rsidR="0070589C" w:rsidRDefault="0070589C" w:rsidP="0070589C">
      <w:pPr>
        <w:pStyle w:val="BodyText"/>
        <w:jc w:val="center"/>
        <w:rPr>
          <w:bCs/>
          <w:i/>
          <w:iCs/>
          <w:sz w:val="28"/>
          <w:szCs w:val="28"/>
        </w:rPr>
      </w:pPr>
      <w:r w:rsidRPr="00FA428E">
        <w:rPr>
          <w:b/>
          <w:i/>
          <w:iCs/>
          <w:sz w:val="28"/>
          <w:szCs w:val="28"/>
        </w:rPr>
        <w:t>Notes and Questions</w:t>
      </w:r>
    </w:p>
    <w:p w14:paraId="72F2979E" w14:textId="77777777" w:rsidR="0070589C" w:rsidRDefault="0070589C" w:rsidP="0070589C">
      <w:pPr>
        <w:pStyle w:val="BodyText"/>
        <w:rPr>
          <w:bCs/>
        </w:rPr>
      </w:pPr>
    </w:p>
    <w:p w14:paraId="5FAF8441" w14:textId="77777777" w:rsidR="0070589C" w:rsidRPr="00FE32F5" w:rsidRDefault="0070589C" w:rsidP="0070589C">
      <w:pPr>
        <w:pStyle w:val="BodyText"/>
        <w:ind w:right="540"/>
        <w:jc w:val="both"/>
        <w:rPr>
          <w:b/>
        </w:rPr>
      </w:pPr>
      <w:r>
        <w:rPr>
          <w:bCs/>
        </w:rPr>
        <w:tab/>
      </w:r>
      <w:r w:rsidRPr="00FE32F5">
        <w:rPr>
          <w:b/>
        </w:rPr>
        <w:t>1.  Organization member confidentiality?</w:t>
      </w:r>
      <w:r>
        <w:rPr>
          <w:b/>
        </w:rPr>
        <w:t xml:space="preserve">  </w:t>
      </w:r>
      <w:r w:rsidRPr="00DF5FCF">
        <w:rPr>
          <w:bCs/>
        </w:rPr>
        <w:t xml:space="preserve">Requiring members of organizations to disclose personal financial information can have a chilling impact on community participation. </w:t>
      </w:r>
      <w:r>
        <w:rPr>
          <w:bCs/>
        </w:rPr>
        <w:t xml:space="preserve"> </w:t>
      </w:r>
      <w:r w:rsidRPr="00DF5FCF">
        <w:rPr>
          <w:bCs/>
        </w:rPr>
        <w:t xml:space="preserve">If individuals are forced to come forward and identify themselves (as opposed to community organizations being the named party in litigation), they could be subjected to a variety of pressures and harassment, ranging from having a deposition taken, to being fired or hassled at work, to becoming the target of community threats. </w:t>
      </w:r>
      <w:r>
        <w:rPr>
          <w:bCs/>
        </w:rPr>
        <w:t xml:space="preserve"> </w:t>
      </w:r>
      <w:r w:rsidRPr="00DF5FCF">
        <w:rPr>
          <w:bCs/>
        </w:rPr>
        <w:t xml:space="preserve">For a contrary view arguing that the revised student practice rules have not hobbled the Tulane Clinic as much as initially believed, see Adam Babich, </w:t>
      </w:r>
      <w:r w:rsidRPr="00FE32F5">
        <w:rPr>
          <w:bCs/>
          <w:i/>
          <w:iCs/>
        </w:rPr>
        <w:t>How the Tulane Environmental Law Clinic Survived the Shintech Controversy and Rule XX Revisions: Some Questions and Answers</w:t>
      </w:r>
      <w:r w:rsidRPr="00DF5FCF">
        <w:rPr>
          <w:bCs/>
        </w:rPr>
        <w:t xml:space="preserve">, 32 </w:t>
      </w:r>
      <w:r w:rsidRPr="00D573D4">
        <w:rPr>
          <w:bCs/>
          <w:smallCaps/>
        </w:rPr>
        <w:t>Envtl. L. Rep.</w:t>
      </w:r>
      <w:r w:rsidRPr="00DF5FCF">
        <w:rPr>
          <w:bCs/>
        </w:rPr>
        <w:t xml:space="preserve"> 11476 (2002).</w:t>
      </w:r>
    </w:p>
    <w:p w14:paraId="6B719531" w14:textId="77777777" w:rsidR="0070589C" w:rsidRPr="00DF5FCF" w:rsidRDefault="0070589C" w:rsidP="0070589C">
      <w:pPr>
        <w:pStyle w:val="BodyText"/>
        <w:jc w:val="both"/>
        <w:rPr>
          <w:bCs/>
        </w:rPr>
      </w:pPr>
    </w:p>
    <w:p w14:paraId="7F7561FF" w14:textId="77777777" w:rsidR="0070589C" w:rsidRPr="00DF5FCF" w:rsidRDefault="0070589C" w:rsidP="0070589C">
      <w:pPr>
        <w:pStyle w:val="BodyText"/>
        <w:jc w:val="both"/>
        <w:rPr>
          <w:bCs/>
        </w:rPr>
      </w:pPr>
      <w:r>
        <w:rPr>
          <w:bCs/>
        </w:rPr>
        <w:tab/>
      </w:r>
      <w:r w:rsidRPr="00FE32F5">
        <w:rPr>
          <w:b/>
        </w:rPr>
        <w:t>2.  What would you have done?</w:t>
      </w:r>
      <w:r>
        <w:rPr>
          <w:bCs/>
        </w:rPr>
        <w:t xml:space="preserve">  This note is self-explanatory.</w:t>
      </w:r>
    </w:p>
    <w:p w14:paraId="553D74BD" w14:textId="77777777" w:rsidR="0070589C" w:rsidRPr="00DF5FCF" w:rsidRDefault="0070589C" w:rsidP="0070589C">
      <w:pPr>
        <w:pStyle w:val="BodyText"/>
        <w:jc w:val="both"/>
        <w:rPr>
          <w:bCs/>
        </w:rPr>
      </w:pPr>
    </w:p>
    <w:p w14:paraId="31B44F4D" w14:textId="77777777" w:rsidR="0070589C" w:rsidRDefault="0070589C" w:rsidP="0070589C">
      <w:pPr>
        <w:pStyle w:val="BodyText"/>
        <w:ind w:right="540"/>
        <w:jc w:val="both"/>
        <w:rPr>
          <w:bCs/>
        </w:rPr>
      </w:pPr>
      <w:r>
        <w:rPr>
          <w:bCs/>
        </w:rPr>
        <w:tab/>
      </w:r>
      <w:r w:rsidRPr="00FE32F5">
        <w:rPr>
          <w:b/>
        </w:rPr>
        <w:t>3.  Attacks continue.</w:t>
      </w:r>
      <w:r>
        <w:rPr>
          <w:bCs/>
        </w:rPr>
        <w:t xml:space="preserve">  This note asks students to flip the script: what are the ethical implications for those creating these (professional conduct driven) attacks on law school clinics, or advocacy in general?  Does the following note on SLAPP suits answer that question?  </w:t>
      </w:r>
    </w:p>
    <w:p w14:paraId="6D53123D" w14:textId="77777777" w:rsidR="0070589C" w:rsidRDefault="0070589C" w:rsidP="0070589C">
      <w:pPr>
        <w:pStyle w:val="BodyText"/>
        <w:jc w:val="both"/>
        <w:rPr>
          <w:bCs/>
        </w:rPr>
      </w:pPr>
    </w:p>
    <w:p w14:paraId="26EFA320" w14:textId="77777777" w:rsidR="0070589C" w:rsidRPr="007B2846" w:rsidRDefault="0070589C" w:rsidP="0070589C">
      <w:pPr>
        <w:pStyle w:val="BodyText"/>
        <w:ind w:right="540"/>
        <w:jc w:val="both"/>
        <w:rPr>
          <w:b/>
        </w:rPr>
      </w:pPr>
      <w:r>
        <w:rPr>
          <w:bCs/>
        </w:rPr>
        <w:tab/>
      </w:r>
      <w:r w:rsidRPr="00FE32F5">
        <w:rPr>
          <w:b/>
        </w:rPr>
        <w:t>4.  SLAPP suits.</w:t>
      </w:r>
      <w:r>
        <w:rPr>
          <w:b/>
        </w:rPr>
        <w:t xml:space="preserve">  </w:t>
      </w:r>
      <w:r>
        <w:rPr>
          <w:bCs/>
        </w:rPr>
        <w:t xml:space="preserve">Students should pay close attention to the conclusion of this note: SLAPPs remain a popular industry tactic.  The note details how an environmental justice youth group defeated this tactic in Southeast Los Angeles.  Students could return to the theme </w:t>
      </w:r>
      <w:r>
        <w:rPr>
          <w:bCs/>
        </w:rPr>
        <w:lastRenderedPageBreak/>
        <w:t>of this chapter, community empowerment, and question how this industry tactic, that kept the issue in the courtroom, could have affected the overall campaign and the community as a whole.</w:t>
      </w:r>
      <w:r w:rsidRPr="00FE32F5">
        <w:rPr>
          <w:b/>
        </w:rPr>
        <w:t xml:space="preserve"> </w:t>
      </w:r>
    </w:p>
    <w:p w14:paraId="5251CAEE" w14:textId="77777777" w:rsidR="0070589C" w:rsidRDefault="0070589C" w:rsidP="0070589C">
      <w:pPr>
        <w:pStyle w:val="BodyText"/>
        <w:rPr>
          <w:bCs/>
        </w:rPr>
      </w:pPr>
    </w:p>
    <w:p w14:paraId="26E2F12B" w14:textId="77777777" w:rsidR="0070589C" w:rsidRPr="00FE32F5" w:rsidRDefault="0070589C" w:rsidP="0070589C">
      <w:pPr>
        <w:pStyle w:val="BodyText"/>
        <w:ind w:firstLine="720"/>
        <w:rPr>
          <w:b/>
          <w:sz w:val="28"/>
          <w:szCs w:val="28"/>
        </w:rPr>
      </w:pPr>
      <w:r w:rsidRPr="00C13864">
        <w:rPr>
          <w:b/>
        </w:rPr>
        <w:t>B.  Private Enforcement: Citizen Suits</w:t>
      </w:r>
    </w:p>
    <w:p w14:paraId="6B4AB6E4" w14:textId="77777777" w:rsidR="0070589C" w:rsidRPr="00DF5FCF" w:rsidRDefault="0070589C" w:rsidP="0070589C">
      <w:pPr>
        <w:pStyle w:val="BodyText"/>
        <w:rPr>
          <w:bCs/>
        </w:rPr>
      </w:pPr>
    </w:p>
    <w:p w14:paraId="2C57327B" w14:textId="77777777" w:rsidR="0070589C" w:rsidRPr="00DF5FCF" w:rsidRDefault="0070589C" w:rsidP="0070589C">
      <w:pPr>
        <w:pStyle w:val="BodyText"/>
        <w:ind w:right="540"/>
        <w:jc w:val="both"/>
        <w:rPr>
          <w:bCs/>
        </w:rPr>
      </w:pPr>
      <w:r>
        <w:rPr>
          <w:bCs/>
        </w:rPr>
        <w:tab/>
        <w:t xml:space="preserve">The theme of this chapter places litigation as a last resort, and even when necessary, as a frame from which to build, or continue, community empowerment.  This section of the chapter examines the legal and technical barriers to bringing such suits.      </w:t>
      </w:r>
    </w:p>
    <w:p w14:paraId="283850A8" w14:textId="77777777" w:rsidR="0070589C" w:rsidRDefault="0070589C" w:rsidP="0070589C">
      <w:pPr>
        <w:pStyle w:val="BodyText"/>
        <w:jc w:val="both"/>
        <w:rPr>
          <w:bCs/>
        </w:rPr>
      </w:pPr>
      <w:r>
        <w:rPr>
          <w:bCs/>
        </w:rPr>
        <w:tab/>
      </w:r>
      <w:r w:rsidRPr="00DF5FCF">
        <w:rPr>
          <w:bCs/>
        </w:rPr>
        <w:t xml:space="preserve"> </w:t>
      </w:r>
    </w:p>
    <w:p w14:paraId="137B0ACF" w14:textId="77777777" w:rsidR="0070589C" w:rsidRPr="00C13864" w:rsidRDefault="0070589C" w:rsidP="0070589C">
      <w:pPr>
        <w:pStyle w:val="BodyText"/>
        <w:jc w:val="both"/>
        <w:rPr>
          <w:b/>
        </w:rPr>
      </w:pPr>
      <w:r w:rsidRPr="00C13864">
        <w:rPr>
          <w:b/>
        </w:rPr>
        <w:t>1.  Legal Requirements for Filing Suit</w:t>
      </w:r>
    </w:p>
    <w:p w14:paraId="725A6F81" w14:textId="77777777" w:rsidR="0070589C" w:rsidRDefault="0070589C" w:rsidP="0070589C">
      <w:pPr>
        <w:pStyle w:val="BodyText"/>
        <w:jc w:val="both"/>
        <w:rPr>
          <w:bCs/>
        </w:rPr>
      </w:pPr>
    </w:p>
    <w:p w14:paraId="12748C92" w14:textId="77777777" w:rsidR="0070589C" w:rsidRDefault="0070589C" w:rsidP="0070589C">
      <w:pPr>
        <w:pStyle w:val="BodyText"/>
        <w:ind w:right="540"/>
        <w:jc w:val="both"/>
        <w:rPr>
          <w:bCs/>
        </w:rPr>
      </w:pPr>
      <w:r>
        <w:rPr>
          <w:bCs/>
        </w:rPr>
        <w:tab/>
        <w:t xml:space="preserve">Students may already be sick of reading cases related to justiciability, yet there are several additional issues that they should be aware of in the environmental justice context.  For instance, how does the </w:t>
      </w:r>
      <w:r w:rsidRPr="00B154FB">
        <w:rPr>
          <w:bCs/>
          <w:i/>
          <w:iCs/>
        </w:rPr>
        <w:t>Gwaltney</w:t>
      </w:r>
      <w:r>
        <w:rPr>
          <w:bCs/>
        </w:rPr>
        <w:t xml:space="preserve"> holding, that citizens cannot sue defendants for wholly past violations of the law, affect a community’s ability to challenge cumulative impacts, even from the same facility?  Does the standing doctrine require disclosure of organization member identities, with the associated negative implications discussed in the note above?  How can the communities meet “the heavy burden” to overcome mootness?  And how does </w:t>
      </w:r>
      <w:r w:rsidRPr="00485370">
        <w:rPr>
          <w:bCs/>
          <w:i/>
          <w:iCs/>
        </w:rPr>
        <w:t>Laidlaw’s</w:t>
      </w:r>
      <w:r>
        <w:rPr>
          <w:bCs/>
        </w:rPr>
        <w:t xml:space="preserve"> conclusion that “all penalties have some deterrent effect” relate to an environmental justice campaign focused on a repeat violator with deep pockets?     </w:t>
      </w:r>
    </w:p>
    <w:p w14:paraId="1C417550" w14:textId="77777777" w:rsidR="0070589C" w:rsidRDefault="0070589C" w:rsidP="0070589C">
      <w:pPr>
        <w:pStyle w:val="BodyText"/>
        <w:rPr>
          <w:bCs/>
        </w:rPr>
      </w:pPr>
    </w:p>
    <w:p w14:paraId="163E415A" w14:textId="77777777" w:rsidR="0070589C" w:rsidRPr="00FD2E30" w:rsidRDefault="0070589C" w:rsidP="0070589C">
      <w:pPr>
        <w:pStyle w:val="BodyText"/>
        <w:kinsoku w:val="0"/>
        <w:overflowPunct w:val="0"/>
        <w:ind w:right="90"/>
        <w:jc w:val="center"/>
        <w:rPr>
          <w:b/>
          <w:i/>
          <w:sz w:val="28"/>
          <w:szCs w:val="28"/>
        </w:rPr>
      </w:pPr>
      <w:r w:rsidRPr="00FD2E30">
        <w:rPr>
          <w:b/>
          <w:i/>
          <w:sz w:val="28"/>
          <w:szCs w:val="28"/>
        </w:rPr>
        <w:t>Notes and Questions</w:t>
      </w:r>
    </w:p>
    <w:p w14:paraId="6D5DD184" w14:textId="77777777" w:rsidR="0070589C" w:rsidRDefault="0070589C" w:rsidP="0070589C">
      <w:pPr>
        <w:pStyle w:val="BodyText"/>
        <w:rPr>
          <w:bCs/>
        </w:rPr>
      </w:pPr>
    </w:p>
    <w:p w14:paraId="433B9B28" w14:textId="77777777" w:rsidR="0070589C" w:rsidRDefault="0070589C" w:rsidP="0070589C">
      <w:pPr>
        <w:pStyle w:val="BodyText"/>
        <w:ind w:right="540" w:firstLine="720"/>
        <w:jc w:val="both"/>
        <w:rPr>
          <w:bCs/>
        </w:rPr>
      </w:pPr>
      <w:r w:rsidRPr="003438BF">
        <w:rPr>
          <w:b/>
        </w:rPr>
        <w:t>1.  Scalia’s dissent.</w:t>
      </w:r>
      <w:r>
        <w:rPr>
          <w:bCs/>
        </w:rPr>
        <w:t xml:space="preserve">  This note invites students to compare the extent of not only substantive, but also procedural barriers to environmental justice advocacy.  Students could raise Luke Cole’s gathering of letters from residents in Kettleman City, and the testimony of residents in and around Chaparral, detailed in</w:t>
      </w:r>
      <w:r w:rsidRPr="00DC6967">
        <w:rPr>
          <w:b/>
          <w:i/>
          <w:iCs/>
        </w:rPr>
        <w:t xml:space="preserve"> </w:t>
      </w:r>
      <w:r w:rsidRPr="00DC6967">
        <w:rPr>
          <w:bCs/>
          <w:i/>
          <w:iCs/>
        </w:rPr>
        <w:t>Colonias Development Council v. Rhino Environmental Services Inc.</w:t>
      </w:r>
      <w:r>
        <w:rPr>
          <w:bCs/>
          <w:i/>
          <w:iCs/>
        </w:rPr>
        <w:t>,</w:t>
      </w:r>
      <w:r>
        <w:rPr>
          <w:bCs/>
        </w:rPr>
        <w:t xml:space="preserve"> Chapter 6 Environmental Permitting, that derived what Scalia may too have dismissed as “subjective apprehensions.”  </w:t>
      </w:r>
    </w:p>
    <w:p w14:paraId="60BC1E14" w14:textId="77777777" w:rsidR="0070589C" w:rsidRDefault="0070589C" w:rsidP="0070589C">
      <w:pPr>
        <w:pStyle w:val="BodyText"/>
        <w:ind w:firstLine="720"/>
        <w:jc w:val="both"/>
        <w:rPr>
          <w:bCs/>
        </w:rPr>
      </w:pPr>
    </w:p>
    <w:p w14:paraId="2BDAC939" w14:textId="77777777" w:rsidR="0070589C" w:rsidRDefault="0070589C" w:rsidP="0070589C">
      <w:pPr>
        <w:pStyle w:val="BodyText"/>
        <w:ind w:right="540" w:firstLine="720"/>
        <w:jc w:val="both"/>
        <w:rPr>
          <w:bCs/>
        </w:rPr>
      </w:pPr>
      <w:r w:rsidRPr="00EA2CB8">
        <w:rPr>
          <w:b/>
        </w:rPr>
        <w:t>2.  Standing as a barrier?</w:t>
      </w:r>
      <w:r>
        <w:rPr>
          <w:bCs/>
        </w:rPr>
        <w:t xml:space="preserve">  One issue that this note raises is that the San Luis Obispo crude-by-rail example also took place in real time: the court identified the “right to participate” during a </w:t>
      </w:r>
      <w:r>
        <w:rPr>
          <w:bCs/>
          <w:i/>
          <w:iCs/>
        </w:rPr>
        <w:t>pending</w:t>
      </w:r>
      <w:r>
        <w:rPr>
          <w:bCs/>
        </w:rPr>
        <w:t xml:space="preserve"> public process.  On the one hand, environmental justice lawyers have an array of options to show harm or injury, but on the other hand, are still constrained to the degree that past harms</w:t>
      </w:r>
      <w:r>
        <w:rPr>
          <w:bCs/>
        </w:rPr>
        <w:softHyphen/>
        <w:t xml:space="preserve">–from which to seek justice–can be addressed in court.  The note provides a neat transition to the next section of the chapter, which asks the students to consider when to use litigation as a tool in the toolbox.        </w:t>
      </w:r>
    </w:p>
    <w:p w14:paraId="03664F07" w14:textId="77777777" w:rsidR="0070589C" w:rsidRPr="00261026" w:rsidRDefault="0070589C" w:rsidP="0070589C">
      <w:pPr>
        <w:pStyle w:val="BodyText"/>
        <w:rPr>
          <w:bCs/>
        </w:rPr>
      </w:pPr>
    </w:p>
    <w:p w14:paraId="06F25F51" w14:textId="77777777" w:rsidR="0070589C" w:rsidRPr="00C13864" w:rsidRDefault="0070589C" w:rsidP="0070589C">
      <w:pPr>
        <w:pStyle w:val="BodyText"/>
        <w:rPr>
          <w:b/>
        </w:rPr>
      </w:pPr>
      <w:r w:rsidRPr="00C13864">
        <w:rPr>
          <w:b/>
        </w:rPr>
        <w:t>2.  The Practicalities of Private Enforcement</w:t>
      </w:r>
    </w:p>
    <w:p w14:paraId="1B3F5A81" w14:textId="77777777" w:rsidR="0070589C" w:rsidRPr="00EA2CB8" w:rsidRDefault="0070589C" w:rsidP="0070589C">
      <w:pPr>
        <w:pStyle w:val="BodyText"/>
        <w:ind w:firstLine="720"/>
        <w:rPr>
          <w:b/>
        </w:rPr>
      </w:pPr>
      <w:r>
        <w:rPr>
          <w:bCs/>
        </w:rPr>
        <w:t xml:space="preserve"> </w:t>
      </w:r>
      <w:r w:rsidRPr="00EA2CB8">
        <w:rPr>
          <w:b/>
        </w:rPr>
        <w:t xml:space="preserve">       </w:t>
      </w:r>
    </w:p>
    <w:p w14:paraId="687FC38E" w14:textId="77777777" w:rsidR="0070589C" w:rsidRDefault="0070589C" w:rsidP="0070589C">
      <w:pPr>
        <w:pStyle w:val="BodyText"/>
        <w:ind w:right="540"/>
        <w:jc w:val="both"/>
        <w:rPr>
          <w:bCs/>
        </w:rPr>
      </w:pPr>
      <w:r>
        <w:rPr>
          <w:bCs/>
        </w:rPr>
        <w:tab/>
        <w:t xml:space="preserve">The justiciability barriers to adequate environmental justice advocacy in the courtroom provide a backdrop for the additional barriers and concerns raised by Professors Gauna and Kang and further detailed in the notes and questions, including unintended impacts on participating community residents, the costs of litigation, and the effect of litigation in a campaign.   </w:t>
      </w:r>
      <w:r>
        <w:rPr>
          <w:bCs/>
        </w:rPr>
        <w:tab/>
      </w:r>
    </w:p>
    <w:p w14:paraId="087DFD60" w14:textId="77777777" w:rsidR="0070589C" w:rsidRPr="00FD2E30" w:rsidRDefault="0070589C" w:rsidP="0070589C">
      <w:pPr>
        <w:pStyle w:val="BodyText"/>
        <w:kinsoku w:val="0"/>
        <w:overflowPunct w:val="0"/>
        <w:ind w:right="90"/>
        <w:jc w:val="center"/>
        <w:rPr>
          <w:b/>
          <w:i/>
          <w:sz w:val="28"/>
          <w:szCs w:val="28"/>
        </w:rPr>
      </w:pPr>
      <w:r w:rsidRPr="00FD2E30">
        <w:rPr>
          <w:b/>
          <w:i/>
          <w:sz w:val="28"/>
          <w:szCs w:val="28"/>
        </w:rPr>
        <w:lastRenderedPageBreak/>
        <w:t>Notes and Questions</w:t>
      </w:r>
    </w:p>
    <w:p w14:paraId="646DF6BB" w14:textId="77777777" w:rsidR="0070589C" w:rsidRDefault="0070589C" w:rsidP="0070589C">
      <w:pPr>
        <w:pStyle w:val="BodyText"/>
        <w:jc w:val="both"/>
        <w:rPr>
          <w:bCs/>
        </w:rPr>
      </w:pPr>
    </w:p>
    <w:p w14:paraId="699F603D" w14:textId="77777777" w:rsidR="0070589C" w:rsidRDefault="0070589C" w:rsidP="0070589C">
      <w:pPr>
        <w:pStyle w:val="BodyText"/>
        <w:ind w:right="540"/>
        <w:jc w:val="both"/>
        <w:rPr>
          <w:bCs/>
        </w:rPr>
      </w:pPr>
      <w:r>
        <w:rPr>
          <w:bCs/>
        </w:rPr>
        <w:tab/>
      </w:r>
      <w:r w:rsidRPr="00B9646E">
        <w:rPr>
          <w:b/>
        </w:rPr>
        <w:t>1.  Litigation as leverage.</w:t>
      </w:r>
      <w:r>
        <w:rPr>
          <w:b/>
        </w:rPr>
        <w:t xml:space="preserve">  </w:t>
      </w:r>
      <w:r>
        <w:rPr>
          <w:bCs/>
        </w:rPr>
        <w:t xml:space="preserve">This note reminds students that there is, at least in some instances, an undeniable benefit to litigation as the “hammer” in the toolbox.  </w:t>
      </w:r>
    </w:p>
    <w:p w14:paraId="223BEB1D" w14:textId="77777777" w:rsidR="0070589C" w:rsidRDefault="0070589C" w:rsidP="0070589C">
      <w:pPr>
        <w:pStyle w:val="BodyText"/>
        <w:jc w:val="both"/>
        <w:rPr>
          <w:bCs/>
        </w:rPr>
      </w:pPr>
    </w:p>
    <w:p w14:paraId="6FB7810A" w14:textId="77777777" w:rsidR="0070589C" w:rsidRPr="008A6237" w:rsidRDefault="0070589C" w:rsidP="0070589C">
      <w:pPr>
        <w:pStyle w:val="BodyText"/>
        <w:ind w:right="540"/>
        <w:jc w:val="both"/>
        <w:rPr>
          <w:bCs/>
        </w:rPr>
      </w:pPr>
      <w:r>
        <w:rPr>
          <w:bCs/>
        </w:rPr>
        <w:tab/>
      </w:r>
      <w:r w:rsidRPr="008A6237">
        <w:rPr>
          <w:b/>
        </w:rPr>
        <w:t xml:space="preserve">2.  </w:t>
      </w:r>
      <w:r>
        <w:rPr>
          <w:b/>
        </w:rPr>
        <w:t xml:space="preserve">EPA’s ECHO. </w:t>
      </w:r>
      <w:r>
        <w:rPr>
          <w:bCs/>
        </w:rPr>
        <w:t xml:space="preserve"> This note details one of many tools available to enforce violations of environmental regulations.  Do such tools completely alleviate Professor Gauna’s concerns of the efficacy of the “Clean Water Act as a viable tool?” </w:t>
      </w:r>
    </w:p>
    <w:p w14:paraId="6DDE3DBD" w14:textId="77777777" w:rsidR="0070589C" w:rsidRDefault="0070589C" w:rsidP="0070589C">
      <w:pPr>
        <w:pStyle w:val="BodyText"/>
        <w:jc w:val="both"/>
        <w:rPr>
          <w:bCs/>
        </w:rPr>
      </w:pPr>
      <w:r>
        <w:rPr>
          <w:bCs/>
        </w:rPr>
        <w:t xml:space="preserve"> </w:t>
      </w:r>
    </w:p>
    <w:p w14:paraId="01F36517" w14:textId="77777777" w:rsidR="0070589C" w:rsidRDefault="0070589C" w:rsidP="0070589C">
      <w:pPr>
        <w:pStyle w:val="BodyText"/>
        <w:ind w:right="540"/>
        <w:jc w:val="both"/>
        <w:rPr>
          <w:bCs/>
        </w:rPr>
      </w:pPr>
      <w:r>
        <w:rPr>
          <w:bCs/>
        </w:rPr>
        <w:tab/>
      </w:r>
      <w:r w:rsidRPr="009C16DA">
        <w:rPr>
          <w:b/>
        </w:rPr>
        <w:t>3.  The catalyst theory</w:t>
      </w:r>
      <w:r>
        <w:rPr>
          <w:b/>
        </w:rPr>
        <w:t xml:space="preserve">.  </w:t>
      </w:r>
      <w:r>
        <w:rPr>
          <w:bCs/>
        </w:rPr>
        <w:t xml:space="preserve">As the students debate whether Congress intended attorney fee recovery to be more difficult under some environmental statutes, students may also inquire as to the appropriate body to dictate the award of fees: the courts or congress?  </w:t>
      </w:r>
    </w:p>
    <w:p w14:paraId="7179C658" w14:textId="77777777" w:rsidR="0070589C" w:rsidRDefault="0070589C" w:rsidP="0070589C">
      <w:pPr>
        <w:pStyle w:val="BodyText"/>
        <w:jc w:val="both"/>
        <w:rPr>
          <w:bCs/>
        </w:rPr>
      </w:pPr>
    </w:p>
    <w:p w14:paraId="67BB1781" w14:textId="77777777" w:rsidR="0070589C" w:rsidRDefault="0070589C" w:rsidP="0070589C">
      <w:pPr>
        <w:pStyle w:val="BodyText"/>
        <w:ind w:right="540"/>
        <w:jc w:val="both"/>
        <w:rPr>
          <w:bCs/>
        </w:rPr>
      </w:pPr>
      <w:r>
        <w:rPr>
          <w:bCs/>
        </w:rPr>
        <w:tab/>
      </w:r>
      <w:r w:rsidRPr="004C5662">
        <w:rPr>
          <w:b/>
        </w:rPr>
        <w:t>4.  “Diligent</w:t>
      </w:r>
      <w:r>
        <w:rPr>
          <w:b/>
        </w:rPr>
        <w:t xml:space="preserve"> prosecution”?  </w:t>
      </w:r>
      <w:r>
        <w:rPr>
          <w:bCs/>
        </w:rPr>
        <w:t xml:space="preserve">This note ultimately asks students to follow Professor Jeffrey Miller’s cue, whether or not arriving at his conclusion, and ask why Congress authorized citizen suits.  </w:t>
      </w:r>
    </w:p>
    <w:p w14:paraId="0F81923F" w14:textId="77777777" w:rsidR="0070589C" w:rsidRDefault="0070589C" w:rsidP="0070589C">
      <w:pPr>
        <w:pStyle w:val="BodyText"/>
        <w:ind w:right="540"/>
        <w:jc w:val="both"/>
        <w:rPr>
          <w:bCs/>
        </w:rPr>
      </w:pPr>
    </w:p>
    <w:p w14:paraId="78D44151" w14:textId="77777777" w:rsidR="0070589C" w:rsidRDefault="0070589C" w:rsidP="0070589C">
      <w:pPr>
        <w:pStyle w:val="BodyText"/>
        <w:ind w:right="540"/>
        <w:jc w:val="both"/>
        <w:rPr>
          <w:bCs/>
        </w:rPr>
      </w:pPr>
      <w:r>
        <w:rPr>
          <w:bCs/>
        </w:rPr>
        <w:tab/>
      </w:r>
      <w:r w:rsidRPr="000A2044">
        <w:rPr>
          <w:b/>
        </w:rPr>
        <w:t>5.  Good neighbor agreements.</w:t>
      </w:r>
      <w:r>
        <w:rPr>
          <w:bCs/>
        </w:rPr>
        <w:t xml:space="preserve">  This note introduces a broad field and practice area, and how residents have played a central role in designing and enforcing commitments from developers in their communities.  Typically, the effort to obtain an adequate good neighbor or community benefits agreement is substantial, and involves the same strategies employed in other campaigns, such as outreach and engagement</w:t>
      </w:r>
      <w:r w:rsidRPr="00DF5FCF">
        <w:rPr>
          <w:bCs/>
        </w:rPr>
        <w:t xml:space="preserve">, media campaigns, neighborhood coalition-building, and </w:t>
      </w:r>
      <w:r>
        <w:rPr>
          <w:bCs/>
        </w:rPr>
        <w:t>institutional organizing that may be supplemented by a legal strategy</w:t>
      </w:r>
      <w:r w:rsidRPr="00DF5FCF">
        <w:rPr>
          <w:bCs/>
        </w:rPr>
        <w:t>.</w:t>
      </w:r>
    </w:p>
    <w:p w14:paraId="01DAB6BE" w14:textId="77777777" w:rsidR="0070589C" w:rsidRDefault="0070589C" w:rsidP="0070589C">
      <w:pPr>
        <w:pStyle w:val="BodyText"/>
        <w:jc w:val="both"/>
        <w:rPr>
          <w:bCs/>
        </w:rPr>
      </w:pPr>
    </w:p>
    <w:p w14:paraId="3EA1434E" w14:textId="77777777" w:rsidR="0070589C" w:rsidRPr="00EF7B3F" w:rsidRDefault="0070589C" w:rsidP="0070589C">
      <w:pPr>
        <w:pStyle w:val="BodyText"/>
        <w:ind w:right="540"/>
        <w:jc w:val="both"/>
        <w:rPr>
          <w:bCs/>
        </w:rPr>
      </w:pPr>
      <w:r>
        <w:rPr>
          <w:bCs/>
        </w:rPr>
        <w:tab/>
      </w:r>
      <w:r w:rsidRPr="00EF7B3F">
        <w:rPr>
          <w:b/>
        </w:rPr>
        <w:t>6.  Supplemental Environmental Projects</w:t>
      </w:r>
      <w:r>
        <w:rPr>
          <w:b/>
        </w:rPr>
        <w:t xml:space="preserve">.  </w:t>
      </w:r>
      <w:r>
        <w:rPr>
          <w:bCs/>
        </w:rPr>
        <w:t xml:space="preserve">The settlement of a citizen suit in the Anacostia community of Washington, D.C. that this note details provides one example of the broad reach of SEPs compared to traditional remedies at law, or even equity.  </w:t>
      </w:r>
    </w:p>
    <w:p w14:paraId="4B9FEE97" w14:textId="77777777" w:rsidR="0070589C" w:rsidRDefault="0070589C" w:rsidP="0070589C">
      <w:pPr>
        <w:pStyle w:val="BodyText"/>
        <w:jc w:val="both"/>
        <w:rPr>
          <w:bCs/>
        </w:rPr>
      </w:pPr>
    </w:p>
    <w:p w14:paraId="5190ECDF" w14:textId="77777777" w:rsidR="0070589C" w:rsidRDefault="0070589C" w:rsidP="0070589C">
      <w:pPr>
        <w:pStyle w:val="BodyText"/>
        <w:ind w:right="540"/>
        <w:jc w:val="both"/>
        <w:rPr>
          <w:bCs/>
        </w:rPr>
      </w:pPr>
      <w:r>
        <w:rPr>
          <w:bCs/>
        </w:rPr>
        <w:tab/>
      </w:r>
      <w:r w:rsidRPr="00A92F9A">
        <w:rPr>
          <w:b/>
        </w:rPr>
        <w:t>7.  Limits of Tribal Sovereignty.</w:t>
      </w:r>
      <w:r>
        <w:rPr>
          <w:b/>
        </w:rPr>
        <w:t xml:space="preserve">  </w:t>
      </w:r>
      <w:r>
        <w:rPr>
          <w:bCs/>
        </w:rPr>
        <w:t>Students may refer to Chapter 7 for a more detailed discussion of the criteria and limitations of SEPs.  This note compares some of those limitations, but also highlights Professor James Grijalva’s discussion of additional benefits that extend beyond protection of the environment (restoration of damaged areas and pollution reduction), to development of infrastructure and capacity for tribal regulatory programs.</w:t>
      </w:r>
    </w:p>
    <w:p w14:paraId="3FDC14EF" w14:textId="77777777" w:rsidR="0070589C" w:rsidRDefault="0070589C" w:rsidP="0070589C">
      <w:pPr>
        <w:pStyle w:val="BodyText"/>
        <w:rPr>
          <w:bCs/>
        </w:rPr>
      </w:pPr>
    </w:p>
    <w:p w14:paraId="791BDA34" w14:textId="77777777" w:rsidR="0070589C" w:rsidRPr="00A65FE3" w:rsidRDefault="0070589C" w:rsidP="0070589C">
      <w:pPr>
        <w:pStyle w:val="BodyText"/>
        <w:rPr>
          <w:b/>
          <w:sz w:val="28"/>
          <w:szCs w:val="28"/>
        </w:rPr>
      </w:pPr>
      <w:r w:rsidRPr="00A65FE3">
        <w:rPr>
          <w:b/>
          <w:sz w:val="28"/>
          <w:szCs w:val="28"/>
        </w:rPr>
        <w:t xml:space="preserve">3.  Building Community Enforcement Capacity  </w:t>
      </w:r>
    </w:p>
    <w:p w14:paraId="3C8F04BC" w14:textId="77777777" w:rsidR="0070589C" w:rsidRPr="004C5662" w:rsidRDefault="0070589C" w:rsidP="0070589C">
      <w:pPr>
        <w:pStyle w:val="BodyText"/>
        <w:rPr>
          <w:bCs/>
        </w:rPr>
      </w:pPr>
      <w:r>
        <w:rPr>
          <w:bCs/>
        </w:rPr>
        <w:t xml:space="preserve">  </w:t>
      </w:r>
    </w:p>
    <w:p w14:paraId="55B58646" w14:textId="77777777" w:rsidR="0070589C" w:rsidRPr="00C22CDD" w:rsidRDefault="0070589C" w:rsidP="0070589C">
      <w:pPr>
        <w:pStyle w:val="BodyText"/>
        <w:ind w:right="540"/>
        <w:jc w:val="both"/>
        <w:rPr>
          <w:bCs/>
        </w:rPr>
      </w:pPr>
      <w:r>
        <w:rPr>
          <w:bCs/>
        </w:rPr>
        <w:tab/>
        <w:t xml:space="preserve">This section of the chapter continues the prior sections’ assessment of the barriers to residents of communities to enforce environmental statutes, and includes various suggestions to tackle those barriers.  Those include allowing augmented attorney fee awards for enforcement actions in low-income communities and communities of color, technical assistance, and training or funding for communities to detect noncompliance.  Students could critique whether each of the suggestions identified in this section of the chapter resolves the prior concerns with enforcement, especially those related to community empowerment, detailed above.  </w:t>
      </w:r>
      <w:r w:rsidRPr="00DF5FCF">
        <w:rPr>
          <w:bCs/>
        </w:rPr>
        <w:t xml:space="preserve">Whether, and to what extent, state agencies and EPA should promote private enforcement capacity in impacted communities </w:t>
      </w:r>
      <w:r>
        <w:rPr>
          <w:bCs/>
        </w:rPr>
        <w:t>has generated some</w:t>
      </w:r>
      <w:r w:rsidRPr="00DF5FCF">
        <w:rPr>
          <w:bCs/>
        </w:rPr>
        <w:t xml:space="preserve"> controvers</w:t>
      </w:r>
      <w:r>
        <w:rPr>
          <w:bCs/>
        </w:rPr>
        <w:t>y</w:t>
      </w:r>
      <w:r w:rsidRPr="00DF5FCF">
        <w:rPr>
          <w:bCs/>
        </w:rPr>
        <w:t xml:space="preserve"> from the agencies’ perspective</w:t>
      </w:r>
      <w:r>
        <w:rPr>
          <w:bCs/>
        </w:rPr>
        <w:t>.</w:t>
      </w:r>
      <w:r w:rsidRPr="00DF5FCF">
        <w:rPr>
          <w:bCs/>
        </w:rPr>
        <w:t xml:space="preserve"> </w:t>
      </w:r>
      <w:r>
        <w:rPr>
          <w:bCs/>
        </w:rPr>
        <w:t>Some argue that agencies</w:t>
      </w:r>
      <w:r w:rsidRPr="00DF5FCF">
        <w:rPr>
          <w:bCs/>
        </w:rPr>
        <w:t xml:space="preserve"> don’t want to be perceived as promoting </w:t>
      </w:r>
      <w:r w:rsidRPr="00DF5FCF">
        <w:rPr>
          <w:bCs/>
        </w:rPr>
        <w:lastRenderedPageBreak/>
        <w:t xml:space="preserve">litigation against regulated entities. </w:t>
      </w:r>
      <w:r>
        <w:rPr>
          <w:bCs/>
        </w:rPr>
        <w:t xml:space="preserve"> </w:t>
      </w:r>
      <w:r w:rsidRPr="00DF5FCF">
        <w:rPr>
          <w:bCs/>
        </w:rPr>
        <w:t>Others disagree and argue that training communit</w:t>
      </w:r>
      <w:r>
        <w:rPr>
          <w:bCs/>
        </w:rPr>
        <w:t>y</w:t>
      </w:r>
      <w:r w:rsidRPr="00DF5FCF">
        <w:rPr>
          <w:bCs/>
        </w:rPr>
        <w:t xml:space="preserve"> members to detect noncompliance is not promoting litigation, it is promoting compliance. </w:t>
      </w:r>
      <w:r>
        <w:rPr>
          <w:bCs/>
        </w:rPr>
        <w:t xml:space="preserve"> </w:t>
      </w:r>
      <w:r w:rsidRPr="00DF5FCF">
        <w:rPr>
          <w:bCs/>
        </w:rPr>
        <w:t>In any event, this should be a good question for class discussion</w:t>
      </w:r>
      <w:r>
        <w:rPr>
          <w:bCs/>
        </w:rPr>
        <w:t>.</w:t>
      </w:r>
    </w:p>
    <w:p w14:paraId="2FED0D70" w14:textId="77777777" w:rsidR="0070589C" w:rsidRDefault="0070589C" w:rsidP="0070589C">
      <w:pPr>
        <w:pStyle w:val="BodyText"/>
        <w:kinsoku w:val="0"/>
        <w:overflowPunct w:val="0"/>
        <w:ind w:right="897"/>
        <w:jc w:val="center"/>
        <w:rPr>
          <w:b/>
          <w:i/>
          <w:sz w:val="28"/>
          <w:szCs w:val="28"/>
        </w:rPr>
      </w:pPr>
    </w:p>
    <w:p w14:paraId="34294BA5" w14:textId="77777777" w:rsidR="0070589C" w:rsidRPr="00FD2E30" w:rsidRDefault="0070589C" w:rsidP="0070589C">
      <w:pPr>
        <w:pStyle w:val="BodyText"/>
        <w:kinsoku w:val="0"/>
        <w:overflowPunct w:val="0"/>
        <w:ind w:right="90"/>
        <w:jc w:val="center"/>
        <w:rPr>
          <w:b/>
          <w:i/>
          <w:sz w:val="28"/>
          <w:szCs w:val="28"/>
        </w:rPr>
      </w:pPr>
      <w:r w:rsidRPr="00FD2E30">
        <w:rPr>
          <w:b/>
          <w:i/>
          <w:sz w:val="28"/>
          <w:szCs w:val="28"/>
        </w:rPr>
        <w:t>Notes and Questions</w:t>
      </w:r>
    </w:p>
    <w:p w14:paraId="2F47B722" w14:textId="77777777" w:rsidR="0070589C" w:rsidRDefault="0070589C" w:rsidP="0070589C">
      <w:pPr>
        <w:pStyle w:val="BodyText"/>
        <w:rPr>
          <w:bCs/>
        </w:rPr>
      </w:pPr>
      <w:r>
        <w:rPr>
          <w:bCs/>
        </w:rPr>
        <w:tab/>
      </w:r>
    </w:p>
    <w:p w14:paraId="6D49640C" w14:textId="77777777" w:rsidR="0070589C" w:rsidRDefault="0070589C" w:rsidP="0070589C">
      <w:pPr>
        <w:pStyle w:val="BodyText"/>
        <w:ind w:right="540" w:firstLine="720"/>
        <w:jc w:val="both"/>
        <w:rPr>
          <w:bCs/>
        </w:rPr>
      </w:pPr>
      <w:r w:rsidRPr="00C22CDD">
        <w:rPr>
          <w:b/>
        </w:rPr>
        <w:t>1.  Participatory action research.</w:t>
      </w:r>
      <w:r>
        <w:rPr>
          <w:b/>
        </w:rPr>
        <w:t xml:space="preserve">  </w:t>
      </w:r>
      <w:r>
        <w:rPr>
          <w:bCs/>
        </w:rPr>
        <w:t xml:space="preserve">This note follows the excerpt from the article from East Yard for Environmental Justice, which provides a relatively current example of “data gathering” by community members.  Such community engagement has benefits on-the-ground, and may even provide benefits in a legal context, as the next section explores.  </w:t>
      </w:r>
    </w:p>
    <w:p w14:paraId="33901240" w14:textId="77777777" w:rsidR="0070589C" w:rsidRDefault="0070589C" w:rsidP="0070589C">
      <w:pPr>
        <w:pStyle w:val="BodyText"/>
        <w:ind w:firstLine="720"/>
        <w:rPr>
          <w:bCs/>
        </w:rPr>
      </w:pPr>
    </w:p>
    <w:p w14:paraId="3918FEB0" w14:textId="77777777" w:rsidR="0070589C" w:rsidRPr="00C13864" w:rsidRDefault="0070589C" w:rsidP="0070589C">
      <w:pPr>
        <w:pStyle w:val="BodyText"/>
        <w:ind w:firstLine="720"/>
        <w:rPr>
          <w:b/>
        </w:rPr>
      </w:pPr>
      <w:r w:rsidRPr="00C13864">
        <w:rPr>
          <w:b/>
        </w:rPr>
        <w:t>C.  Common Law Remedies</w:t>
      </w:r>
    </w:p>
    <w:p w14:paraId="0EEF6CD3" w14:textId="77777777" w:rsidR="0070589C" w:rsidRDefault="0070589C" w:rsidP="0070589C">
      <w:pPr>
        <w:pStyle w:val="BodyText"/>
        <w:rPr>
          <w:bCs/>
        </w:rPr>
      </w:pPr>
    </w:p>
    <w:p w14:paraId="122E87B0" w14:textId="77777777" w:rsidR="0070589C" w:rsidRDefault="0070589C" w:rsidP="0070589C">
      <w:pPr>
        <w:pStyle w:val="BodyText"/>
        <w:ind w:right="540"/>
        <w:jc w:val="both"/>
        <w:rPr>
          <w:bCs/>
        </w:rPr>
      </w:pPr>
      <w:r>
        <w:rPr>
          <w:bCs/>
        </w:rPr>
        <w:tab/>
        <w:t xml:space="preserve">This final section of the chapter provides a brief overview of how environmental justice advocates may use the common law.  Professor Kang identifies that litigation to address a nuisance source does not have the potential to cure the root cause of the problem.  Nevertheless, the law is seeing a resurgence in the application of tort law.  </w:t>
      </w:r>
    </w:p>
    <w:p w14:paraId="1E1824C9" w14:textId="77777777" w:rsidR="0070589C" w:rsidRDefault="0070589C" w:rsidP="0070589C">
      <w:pPr>
        <w:pStyle w:val="BodyText"/>
        <w:ind w:firstLine="720"/>
        <w:jc w:val="both"/>
        <w:rPr>
          <w:bCs/>
        </w:rPr>
      </w:pPr>
    </w:p>
    <w:p w14:paraId="1F47EF30" w14:textId="77777777" w:rsidR="0070589C" w:rsidRDefault="0070589C" w:rsidP="0070589C">
      <w:pPr>
        <w:pStyle w:val="BodyText"/>
        <w:ind w:right="540" w:firstLine="720"/>
        <w:jc w:val="both"/>
        <w:rPr>
          <w:bCs/>
        </w:rPr>
      </w:pPr>
      <w:r>
        <w:rPr>
          <w:bCs/>
        </w:rPr>
        <w:t xml:space="preserve">The section includes a note on </w:t>
      </w:r>
      <w:r w:rsidRPr="00B5432B">
        <w:rPr>
          <w:bCs/>
          <w:i/>
          <w:iCs/>
        </w:rPr>
        <w:t>Bates v. Dow Agrosciences</w:t>
      </w:r>
      <w:r>
        <w:rPr>
          <w:bCs/>
        </w:rPr>
        <w:t xml:space="preserve">, 544 U.S. 431 (2005), where the Supreme Court reversed the long-held jurisprudence that federal law preempted state tort law claims related to pesticide warning and use labels.  Particularly pertinent, which could spur student discussion, are the cases brought by several cities and counties against Big Oil on a public nuisance theory.  Recently, the Ninth Circuit vacated the district court’s judgment denying BP, Chevron Corporation, ConocoPhillips and Royal Dutch Shell’s motion to remand the challenges from the City of Oakland, the City and County of San Francisco and others to state court.  </w:t>
      </w:r>
      <w:r w:rsidRPr="00556C3A">
        <w:rPr>
          <w:bCs/>
          <w:i/>
          <w:iCs/>
        </w:rPr>
        <w:t>City of Oakland et al. v. BP PLC et al.</w:t>
      </w:r>
      <w:r>
        <w:rPr>
          <w:bCs/>
        </w:rPr>
        <w:t xml:space="preserve">, No. 18-16663 D.C. Nos. 3:17-cv-06011WHA (May 26, 2020).  The district court will consider whether the two California cities, that had originally brought actions in state court alleging that the defendants’ production and promotion of fossil fuels is a public nuisance under California law, have an alternative basis for subject-matter jurisdiction.  When the procedural dust settles, students may see a court decide a public nuisance claim in this context.  Without getting lost in the procedural weeds, or perhaps getting lost in those weeds, students could still discuss whether this action is a viable course for environmental justice.  In the City of Oakland case, the two cities seek an order of abatement requiring Big Oil to fund “climate adaptation programs” for Oakland and San Francisco, including building sea walls, raising the elevation of low-lying property and buildings, and other infrastructure.        </w:t>
      </w:r>
    </w:p>
    <w:p w14:paraId="25AFD8CF" w14:textId="77777777" w:rsidR="0070589C" w:rsidRDefault="0070589C" w:rsidP="0070589C">
      <w:pPr>
        <w:pStyle w:val="BodyText"/>
        <w:jc w:val="both"/>
        <w:rPr>
          <w:bCs/>
        </w:rPr>
      </w:pPr>
    </w:p>
    <w:p w14:paraId="661D44E7" w14:textId="77777777" w:rsidR="0070589C" w:rsidRDefault="0070589C" w:rsidP="0070589C">
      <w:pPr>
        <w:pStyle w:val="BodyText"/>
        <w:ind w:right="540"/>
        <w:jc w:val="both"/>
        <w:rPr>
          <w:bCs/>
        </w:rPr>
      </w:pPr>
      <w:r>
        <w:rPr>
          <w:bCs/>
        </w:rPr>
        <w:tab/>
        <w:t xml:space="preserve">The chapter ends by bringing public nuisance theory back to the community level with the Richard Drury’s article, </w:t>
      </w:r>
      <w:r w:rsidRPr="0063088B">
        <w:rPr>
          <w:bCs/>
          <w:i/>
          <w:iCs/>
        </w:rPr>
        <w:t>Moving a Mountain:</w:t>
      </w:r>
      <w:r>
        <w:rPr>
          <w:bCs/>
        </w:rPr>
        <w:t xml:space="preserve"> </w:t>
      </w:r>
      <w:r w:rsidRPr="00955DC9">
        <w:rPr>
          <w:bCs/>
          <w:i/>
          <w:iCs/>
        </w:rPr>
        <w:t>The Struggle for Environmental Justice in Southeast Los Angeles</w:t>
      </w:r>
      <w:r>
        <w:rPr>
          <w:bCs/>
        </w:rPr>
        <w:t>, which details the significant efforts of Communities for a Better Environment, a community based organization, and residents in and around Huntington Park, California, who formed the Los Angeles Comunidades Asembleadas y Unidas para un Sostenible Ambiente.  The article details how community organizing and scientific research and opinion worked together under a “nuisance with a twist” framework that kept the fight in the community.</w:t>
      </w:r>
    </w:p>
    <w:p w14:paraId="0BE94B9B" w14:textId="77777777" w:rsidR="0070589C" w:rsidRDefault="0070589C" w:rsidP="0070589C">
      <w:pPr>
        <w:pStyle w:val="BodyText"/>
        <w:rPr>
          <w:bCs/>
        </w:rPr>
      </w:pPr>
    </w:p>
    <w:p w14:paraId="10062C30" w14:textId="77777777" w:rsidR="0070589C" w:rsidRPr="00FD2E30" w:rsidRDefault="0070589C" w:rsidP="0070589C">
      <w:pPr>
        <w:pStyle w:val="BodyText"/>
        <w:kinsoku w:val="0"/>
        <w:overflowPunct w:val="0"/>
        <w:ind w:right="90"/>
        <w:jc w:val="center"/>
        <w:rPr>
          <w:b/>
          <w:i/>
          <w:sz w:val="28"/>
          <w:szCs w:val="28"/>
        </w:rPr>
      </w:pPr>
      <w:r w:rsidRPr="00FD2E30">
        <w:rPr>
          <w:b/>
          <w:i/>
          <w:sz w:val="28"/>
          <w:szCs w:val="28"/>
        </w:rPr>
        <w:lastRenderedPageBreak/>
        <w:t>Notes and Questions</w:t>
      </w:r>
    </w:p>
    <w:p w14:paraId="57D9EDBA" w14:textId="77777777" w:rsidR="0070589C" w:rsidRDefault="0070589C" w:rsidP="0070589C">
      <w:pPr>
        <w:pStyle w:val="BodyText"/>
        <w:jc w:val="both"/>
        <w:rPr>
          <w:bCs/>
        </w:rPr>
      </w:pPr>
    </w:p>
    <w:p w14:paraId="5E81CC90" w14:textId="77777777" w:rsidR="0070589C" w:rsidRDefault="0070589C" w:rsidP="0070589C">
      <w:pPr>
        <w:pStyle w:val="BodyText"/>
        <w:ind w:right="540" w:firstLine="720"/>
        <w:jc w:val="both"/>
        <w:rPr>
          <w:bCs/>
        </w:rPr>
      </w:pPr>
      <w:r w:rsidRPr="00DE60B5">
        <w:rPr>
          <w:b/>
        </w:rPr>
        <w:t>1.  Another tool in the toolbox?</w:t>
      </w:r>
      <w:r>
        <w:rPr>
          <w:b/>
        </w:rPr>
        <w:t xml:space="preserve">  </w:t>
      </w:r>
      <w:r>
        <w:rPr>
          <w:bCs/>
        </w:rPr>
        <w:t>This note seeks to have students question additional barriers to enforcement under traditional environmental regulations.  Students may benefit from reading the particular sections of Richard Drury’s article that detail the limitations of the Clean Air Act (mobile versus stationary source problem), the Clean Water Act (stormwater pollution remedy problem), traditional common law (causation and cost problems) and the California Environmental Quality Act (exemptions and statute of limitations problems).</w:t>
      </w:r>
    </w:p>
    <w:p w14:paraId="3491A1E8" w14:textId="77777777" w:rsidR="0070589C" w:rsidRDefault="0070589C" w:rsidP="0070589C">
      <w:pPr>
        <w:pStyle w:val="BodyText"/>
        <w:ind w:firstLine="720"/>
        <w:jc w:val="both"/>
        <w:rPr>
          <w:bCs/>
        </w:rPr>
      </w:pPr>
    </w:p>
    <w:p w14:paraId="51FD02D8" w14:textId="77777777" w:rsidR="0070589C" w:rsidRDefault="0070589C" w:rsidP="0070589C">
      <w:pPr>
        <w:pStyle w:val="BodyText"/>
        <w:ind w:right="540" w:firstLine="720"/>
        <w:jc w:val="both"/>
        <w:rPr>
          <w:bCs/>
        </w:rPr>
      </w:pPr>
      <w:r w:rsidRPr="008E1964">
        <w:rPr>
          <w:b/>
        </w:rPr>
        <w:t>2.  Nuisance and climate change.</w:t>
      </w:r>
      <w:r>
        <w:rPr>
          <w:bCs/>
        </w:rPr>
        <w:t xml:space="preserve">  As of the drafting of this Teacher’s Manual, the Ninth Circuit has vacated Judge Alsup’s district court opinion, addressed in this note.  Students could take a second to examine the procedural weeds involved in the City of Oakland case, and how federal or state court, or the procedures to get there themselves, present further barriers to enforcement, but ultimately, should inquire as to the efficacy of this route to pursue environmental justice.  </w:t>
      </w:r>
    </w:p>
    <w:p w14:paraId="7262EFD5" w14:textId="77777777" w:rsidR="0070589C" w:rsidRDefault="0070589C" w:rsidP="0070589C">
      <w:pPr>
        <w:pStyle w:val="BodyText"/>
        <w:ind w:firstLine="720"/>
        <w:jc w:val="both"/>
        <w:rPr>
          <w:bCs/>
        </w:rPr>
      </w:pPr>
    </w:p>
    <w:p w14:paraId="5897B6A3" w14:textId="77777777" w:rsidR="0070589C" w:rsidRPr="008555D8" w:rsidRDefault="0070589C" w:rsidP="0070589C">
      <w:pPr>
        <w:pStyle w:val="BodyText"/>
        <w:ind w:right="540" w:firstLine="720"/>
        <w:jc w:val="both"/>
        <w:rPr>
          <w:b/>
        </w:rPr>
      </w:pPr>
      <w:r w:rsidRPr="008555D8">
        <w:rPr>
          <w:b/>
        </w:rPr>
        <w:t>3.  What would you do?</w:t>
      </w:r>
      <w:r>
        <w:rPr>
          <w:b/>
        </w:rPr>
        <w:t xml:space="preserve">  </w:t>
      </w:r>
      <w:r>
        <w:rPr>
          <w:bCs/>
        </w:rPr>
        <w:t xml:space="preserve">This note is self-explanatory, but could also spur a hypothetical based on the experiences of residents in Huntington Park challenging Aggregate Recycling Systems, and the lawyer hired to assist them and armed with federal environmental regulations, state environmental review statutes, the common law, and “nuisance with a twist.”  </w:t>
      </w:r>
    </w:p>
    <w:p w14:paraId="4F467995" w14:textId="77777777" w:rsidR="0070589C" w:rsidRDefault="0070589C" w:rsidP="0070589C">
      <w:pPr>
        <w:widowControl/>
        <w:autoSpaceDE/>
        <w:autoSpaceDN/>
        <w:adjustRightInd/>
        <w:spacing w:after="160" w:line="259" w:lineRule="auto"/>
        <w:rPr>
          <w:sz w:val="24"/>
          <w:szCs w:val="24"/>
        </w:rPr>
      </w:pPr>
      <w:r>
        <w:br w:type="page"/>
      </w:r>
    </w:p>
    <w:p w14:paraId="1F7C70D6" w14:textId="1BBCEECC" w:rsidR="0070589C" w:rsidRPr="00733FF8" w:rsidRDefault="3A95F3E5" w:rsidP="3A95F3E5">
      <w:pPr>
        <w:pStyle w:val="BodyText"/>
        <w:kinsoku w:val="0"/>
        <w:overflowPunct w:val="0"/>
        <w:spacing w:before="58"/>
        <w:rPr>
          <w:b/>
          <w:bCs/>
          <w:sz w:val="32"/>
          <w:szCs w:val="32"/>
        </w:rPr>
      </w:pPr>
      <w:r w:rsidRPr="3A95F3E5">
        <w:rPr>
          <w:b/>
          <w:bCs/>
          <w:sz w:val="32"/>
          <w:szCs w:val="32"/>
        </w:rPr>
        <w:lastRenderedPageBreak/>
        <w:t>Chapter 13: Environmental Justice in International Law</w:t>
      </w:r>
    </w:p>
    <w:p w14:paraId="0C4EE317" w14:textId="6FF8B311" w:rsidR="0070589C" w:rsidRPr="00733FF8" w:rsidRDefault="3A95F3E5" w:rsidP="3A95F3E5">
      <w:pPr>
        <w:kinsoku w:val="0"/>
        <w:overflowPunct w:val="0"/>
        <w:spacing w:before="240" w:after="240"/>
        <w:rPr>
          <w:sz w:val="24"/>
          <w:szCs w:val="24"/>
        </w:rPr>
      </w:pPr>
      <w:r w:rsidRPr="3A95F3E5">
        <w:rPr>
          <w:sz w:val="24"/>
          <w:szCs w:val="24"/>
        </w:rPr>
        <w:t>This chapter extends the environmental justice framework beyond domestic borders to examine how international law addresses,  and often fails to address, the global dimensions of environmental inequity. Students will encounter a fundamental paradox: environmental burdens flow across borders with little regard for legal boundaries, yet the international legal system remains organized around sovereign states whose interests may diverge sharply from those of affected communities within their territories. The chapter challenges students to think critically about whether legal frameworks designed primarily to regulate state-to-state relations can adequately protect communities bearing disproportionate environmental costs. The materials trace an arc from early twentieth-century approaches focused narrowly on transboundary pollution between neighboring states to contemporary frameworks recognizing individual and community rights to environmental quality. Trail Smelter established that states bear responsibility for pollution crossing their borders, but its state-centric framing and focus on economic damages left affected communities without direct voice or guaranteed remedy. The chapter then examines how regional human rights systems have developed more sophisticated approaches that center community experience rather than state injury. The Inter-American system's recognition of Indigenous territorial rights, the African Commission's comprehensive Ogoni decision, and Europe's development of positive state obligations through privacy rights each offer different doctrinal paths toward environmental protection with different strengths and limitations for environmental justice advocacy.</w:t>
      </w:r>
    </w:p>
    <w:p w14:paraId="570E91AE" w14:textId="3D13ABB0" w:rsidR="0070589C" w:rsidRPr="00733FF8" w:rsidRDefault="3A95F3E5" w:rsidP="3A95F3E5">
      <w:pPr>
        <w:kinsoku w:val="0"/>
        <w:overflowPunct w:val="0"/>
        <w:spacing w:before="240" w:after="240"/>
        <w:rPr>
          <w:sz w:val="24"/>
          <w:szCs w:val="24"/>
        </w:rPr>
      </w:pPr>
      <w:r w:rsidRPr="3A95F3E5">
        <w:rPr>
          <w:sz w:val="24"/>
          <w:szCs w:val="24"/>
        </w:rPr>
        <w:t>Students should appreciate that international environmental justice operates at the intersection of multiple legal regimes that do not always cohere. Human rights law, environmental treaties, investment agreements, trade rules, and emerging criminal law frameworks each govern aspects of transnational environmental harm, yet their remedial mechanisms, substantive standards, and underlying values frequently conflict. Investment treaties may protect corporate expectations in ways that chill environmental regulation. Trade rules may restrict environmental measures as disguised protectionism. Criminal law’s demanding proof requirements may render accountability practically unattainable. Navigating these tensions requires understanding each regime’s logic while recognizing that no single framework adequately addresses environmental injustice’s full dimensions.</w:t>
      </w:r>
    </w:p>
    <w:p w14:paraId="68E27E33" w14:textId="69E6F5E2" w:rsidR="0070589C" w:rsidRPr="00733FF8" w:rsidRDefault="3A95F3E5" w:rsidP="3A95F3E5">
      <w:pPr>
        <w:kinsoku w:val="0"/>
        <w:overflowPunct w:val="0"/>
        <w:spacing w:before="240" w:after="240"/>
        <w:rPr>
          <w:sz w:val="24"/>
          <w:szCs w:val="24"/>
        </w:rPr>
      </w:pPr>
      <w:r w:rsidRPr="3A95F3E5">
        <w:rPr>
          <w:sz w:val="24"/>
          <w:szCs w:val="24"/>
        </w:rPr>
        <w:t>The chapter’s later sections introduce students to cutting-edge developments that may reshape international environmental law in coming decades. The rights of nature movement challenges anthropocentric assumptions embedded in Western legal traditions by recognizing natural entities as subjects rather than mere objects of legal protection. Proposals to criminalize ecocide would extend international criminal law beyond its traditional focus on violence against humans to encompass severe environmental destruction. Mandatory human rights due diligence legislation emerging in Europe may finally create binding corporate obligations regarding environmental harm throughout global supply chains. These developments remain contested and incompletely implemented, but they suggest possible futures that students entering practice will help shape.</w:t>
      </w:r>
    </w:p>
    <w:p w14:paraId="4E0F9FA8" w14:textId="5BEC0569" w:rsidR="0070589C" w:rsidRPr="00733FF8" w:rsidRDefault="3A95F3E5" w:rsidP="3A95F3E5">
      <w:pPr>
        <w:kinsoku w:val="0"/>
        <w:overflowPunct w:val="0"/>
        <w:spacing w:before="240" w:after="240"/>
        <w:rPr>
          <w:sz w:val="24"/>
          <w:szCs w:val="24"/>
        </w:rPr>
      </w:pPr>
      <w:r w:rsidRPr="3A95F3E5">
        <w:rPr>
          <w:sz w:val="24"/>
          <w:szCs w:val="24"/>
        </w:rPr>
        <w:t xml:space="preserve">Instructors should emphasize several recurring themes throughout the chapter. First, the gap between normative recognition and practical enforcement pervades international environmental justice. Declarations, resolutions, and even binding treaty provisions frequently fail to translate </w:t>
      </w:r>
      <w:r w:rsidRPr="3A95F3E5">
        <w:rPr>
          <w:sz w:val="24"/>
          <w:szCs w:val="24"/>
        </w:rPr>
        <w:lastRenderedPageBreak/>
        <w:t>into meaningful protection for affected communities. Second, procedural rights, including access to information, participation in decision-making, and access to justice, prove essential to substantive environmental protection. Communities cannot challenge what they cannot identify or access forums to contest. Third, environmental justice concerns intersect with other axes of marginalization including race, indigeneity, gender, and colonial history. The communities bearing heaviest environmental burdens internationally are rarely randomly selected; patterns of environmental harm track and reinforce existing inequalities. The chapter connects to earlier domestic materials by demonstrating that environmental injustice operates through similar mechanisms at global scale. Facility siting decisions that concentrate pollution in low-income communities domestically find parallels in international toxic waste flows targeting countries with weak regulatory capacity. The procedural barriers that disadvantage domestic environmental justice plaintiffs, such as scientific uncertainty, resource asymmetries, political marginalization, appear in amplified form when communities must navigate international legal systems designed around state actors. Students should recognize continuities while appreciating the additional complexities that international dimensions introduce.</w:t>
      </w:r>
    </w:p>
    <w:p w14:paraId="0504F847" w14:textId="7726B6A9" w:rsidR="0070589C" w:rsidRPr="00733FF8" w:rsidRDefault="3A95F3E5" w:rsidP="3A95F3E5">
      <w:pPr>
        <w:pStyle w:val="Heading3"/>
        <w:kinsoku w:val="0"/>
        <w:overflowPunct w:val="0"/>
        <w:spacing w:before="281" w:after="281"/>
        <w:rPr>
          <w:b/>
          <w:bCs/>
          <w:color w:val="auto"/>
          <w:sz w:val="24"/>
          <w:szCs w:val="24"/>
        </w:rPr>
      </w:pPr>
      <w:r w:rsidRPr="3A95F3E5">
        <w:rPr>
          <w:b/>
          <w:bCs/>
          <w:color w:val="auto"/>
          <w:sz w:val="24"/>
          <w:szCs w:val="24"/>
        </w:rPr>
        <w:t>Part B: Theoretical Foundations and Historical Development</w:t>
      </w:r>
    </w:p>
    <w:p w14:paraId="42BB4121" w14:textId="483467B8"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1. Environmental Colonialism and Distributive Justice. </w:t>
      </w:r>
      <w:r w:rsidRPr="3A95F3E5">
        <w:rPr>
          <w:sz w:val="24"/>
          <w:szCs w:val="24"/>
        </w:rPr>
        <w:t>Environmental colonialism describes how wealthy nations and corporations systematically transfer environmental costs to communities with less power to resist. The toxic waste trade sends hazardous materials from industrial economies to countries with weaker regulatory frameworks. Extractive industries displace Indigenous communities to access resources that serve consumption patterns thousands of miles away. Perhaps most consequentially, wealthy nations have claimed the atmosphere's carbon-absorbing capacity through two centuries of emissions while climate impacts fall hardest on low-lying islands and drought-prone regions that contributed almost nothing to the problem. These patterns reinforce marginalization because economic vulnerability limits communities’ ability to resist harmful projects, political exclusion denies them voice in siting decisions, and colonial-era institutional legacies in the form of weak regulatory capacity, dependence on commodity exports perpetuate the cycle.</w:t>
      </w:r>
    </w:p>
    <w:p w14:paraId="6448C851" w14:textId="5B1CD40F"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2. Sovereignty vs. Accountability in Environmental Governance. </w:t>
      </w:r>
      <w:r w:rsidRPr="3A95F3E5">
        <w:rPr>
          <w:sz w:val="24"/>
          <w:szCs w:val="24"/>
        </w:rPr>
        <w:t>State-centric dispute resolution fails marginalized communities in several ways. Communities lack standing in most international forums; only states can bring claims, yet governments dependent on foreign investment have little incentive to antagonize corporations or their home countries. Even when states pursue claims, monetary compensation paid between governments may never reach affected people, and money cannot restore destroyed ecosystems or lost cultural practices. The sovereignty framework also treats domestic environmental matters as beyond international scrutiny, creating impunity for governments willing to sacrifice their own citizens’ welfare. Trail Smelter illustrates these limitations: compensation flowed between governments with no guarantee that Washington farmers received adequate redress.</w:t>
      </w:r>
    </w:p>
    <w:p w14:paraId="56E6081C" w14:textId="244C1859"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3. Indigenous Rights and Decolonizing Environmental Law. </w:t>
      </w:r>
      <w:r w:rsidRPr="3A95F3E5">
        <w:rPr>
          <w:sz w:val="24"/>
          <w:szCs w:val="24"/>
        </w:rPr>
        <w:t xml:space="preserve">Free, prior and informed consent fundamentally challenges state sovereignty by requiring genuine Indigenous agreement before projects proceed on traditional territories. This goes beyond consultation to demand real decision-making authority, directly contesting the premise that states possess unilateral control over resource extraction. Implementation disputes whether consent constitutes an absolute veto, </w:t>
      </w:r>
      <w:r w:rsidRPr="3A95F3E5">
        <w:rPr>
          <w:sz w:val="24"/>
          <w:szCs w:val="24"/>
        </w:rPr>
        <w:lastRenderedPageBreak/>
        <w:t>whether economically coerced agreement suffices reflect the radical nature of this challenge. Rights of nature concepts push further still, rejecting the anthropocentric premise that ecosystems matter only instrumentally. When Maori legal traditions recognize a river as an ancestor with inherent worth, or when Ecuador’s constitution grants nature rights to “exist, flourish, and maintain its vital cycles,” these frameworks suggest governance alternatives that Western legal systems had foreclosed.</w:t>
      </w:r>
    </w:p>
    <w:p w14:paraId="65C09174" w14:textId="1E592F3B" w:rsidR="0070589C" w:rsidRPr="00733FF8" w:rsidRDefault="3A95F3E5" w:rsidP="3A95F3E5">
      <w:pPr>
        <w:pStyle w:val="Heading3"/>
        <w:kinsoku w:val="0"/>
        <w:overflowPunct w:val="0"/>
        <w:spacing w:before="281" w:after="281"/>
        <w:rPr>
          <w:b/>
          <w:bCs/>
          <w:color w:val="auto"/>
          <w:sz w:val="24"/>
          <w:szCs w:val="24"/>
        </w:rPr>
      </w:pPr>
      <w:r w:rsidRPr="3A95F3E5">
        <w:rPr>
          <w:b/>
          <w:bCs/>
          <w:color w:val="auto"/>
          <w:sz w:val="24"/>
          <w:szCs w:val="24"/>
        </w:rPr>
        <w:t>Part C: Jurisprudential Development Through International Tribunals</w:t>
      </w:r>
    </w:p>
    <w:p w14:paraId="203B8942" w14:textId="600295ED"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1. Scientific Causation and Environmental Harm. </w:t>
      </w:r>
      <w:r w:rsidRPr="3A95F3E5">
        <w:rPr>
          <w:sz w:val="24"/>
          <w:szCs w:val="24"/>
        </w:rPr>
        <w:t>Trail Smelter’s evidentiary struggles illuminate persistent difficulties in environmental litigation. The arbitrators confronted "episodic, scattered, and diminishing fumigations" and competing expert theories about how pollution traveled across the border. Establishing causation requires scientific expertise, monitoring data, and analytical resources that affected communities frequently lack. Defendants with substantial resources can retain experts emphasizing uncertainty while plaintiffs struggle to fund independent studies. These asymmetries systematically disadvantage environmental justice claimants, who bear pollution burdens but cannot satisfy demanding proof requirements. Trail Smelter succeeded partly because both governments invested in cooperative investigation and because crop damage was relatively straightforward to document, chronic health effects from low-level exposures present far greater challenges.</w:t>
      </w:r>
    </w:p>
    <w:p w14:paraId="679BF2A8" w14:textId="0715E3E1"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2. Indigenous and Community Rights vs. State Sovereignty. </w:t>
      </w:r>
      <w:r w:rsidRPr="3A95F3E5">
        <w:rPr>
          <w:sz w:val="24"/>
          <w:szCs w:val="24"/>
        </w:rPr>
        <w:t>Awas Tingni’s recognition that Indigenous property rights exist independently of state recognition inverts traditional doctrine. Rather than property existing because states create it, Indigenous communities possess rights based on possession and customary use regardless of formal title. Saramaka extended this framework to extractive industries, requiring effective community participation, reasonable benefit-sharing, and environmental and social impact assessments before projects proceed. These requirements address the core environmental justice problem of externalization, corporations extracting profits while communities bear costs. Whether the framework provides genuine power to refuse harmful projects when confronting multinationals backed by state authority and investment treaty protections remains contested.</w:t>
      </w:r>
    </w:p>
    <w:p w14:paraId="622F0E27" w14:textId="17D9F008"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3. Regional Variations in Environmental Rights Protection. </w:t>
      </w:r>
      <w:r w:rsidRPr="3A95F3E5">
        <w:rPr>
          <w:sz w:val="24"/>
          <w:szCs w:val="24"/>
        </w:rPr>
        <w:t>The African Charter’s explicit environmental right enabled the Ogoni decision's comprehensive remedies: environmental restoration, compensation, participation mechanisms, and prosecution orders. No other tribunal has matched this scope. The Inter-American system develops environmental protection through Indigenous territorial and property rights rather than a freestanding environmental right, proving particularly effective for communities whose relationship to land encompasses cultural and spiritual dimensions. Europe's approach through Article 8 private and family life protection, as in López Ostra, establishes positive state obligations to protect individuals from environmental harm but focuses on individual rather than collective rights. The African system's comprehensive approach arguably better serves environmental justice advocacy, though implementation and enforcement remain challenging across all regional systems.</w:t>
      </w:r>
    </w:p>
    <w:p w14:paraId="597A1425" w14:textId="38E8C035"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4. State Obligations and Corporate Accountability. </w:t>
      </w:r>
      <w:r w:rsidRPr="3A95F3E5">
        <w:rPr>
          <w:sz w:val="24"/>
          <w:szCs w:val="24"/>
        </w:rPr>
        <w:t xml:space="preserve">The regional systems address corporate conduct indirectly through state obligations. The Ogoni decision declared that states </w:t>
      </w:r>
      <w:r w:rsidRPr="3A95F3E5">
        <w:rPr>
          <w:sz w:val="24"/>
          <w:szCs w:val="24"/>
        </w:rPr>
        <w:lastRenderedPageBreak/>
        <w:t>“cannot evade human rights obligations by delegating environmental management to private corporations,” establishing that governments must regulate corporate environmental conduct even when they do not directly cause harm. The Inter-American requirements for participation and benefit-sharing attempt to constrain corporate behavior by mandating state action before approving projects. This indirect approach has obvious limitations: corporations remain beyond the direct reach of human rights tribunals, and states may lack capacity or willingness to enforce obligations against powerful multinationals. The structural gap between human rights law’s state-focused architecture and the reality of corporate-driven environmental harm remains a fundamental challenge.</w:t>
      </w:r>
    </w:p>
    <w:p w14:paraId="6366D7AA" w14:textId="28276054"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5. The United States.  </w:t>
      </w:r>
      <w:r w:rsidRPr="3A95F3E5">
        <w:rPr>
          <w:sz w:val="24"/>
          <w:szCs w:val="24"/>
        </w:rPr>
        <w:t>Students often assume the Inter-American Court’s jurisdiction extends to the United States, but the U.S. has not ratified the American Convention on Human Rights. The U.S. participates only in the non-binding work of the Inter-American Commission on Human Rights, which can investigate complaints and issue recommendations but cannot render enforceable judgments. This arrangement reflects broader American skepticism toward international human rights mechanisms and limits available remedies for communities seeking international redress for environmental injustice within U.S. borders.</w:t>
      </w:r>
    </w:p>
    <w:p w14:paraId="57178A46" w14:textId="2E7F8AA1" w:rsidR="0070589C" w:rsidRPr="00733FF8" w:rsidRDefault="3A95F3E5" w:rsidP="3A95F3E5">
      <w:pPr>
        <w:pStyle w:val="Heading3"/>
        <w:kinsoku w:val="0"/>
        <w:overflowPunct w:val="0"/>
        <w:spacing w:before="281" w:after="281"/>
        <w:rPr>
          <w:b/>
          <w:bCs/>
          <w:color w:val="auto"/>
          <w:sz w:val="24"/>
          <w:szCs w:val="24"/>
        </w:rPr>
      </w:pPr>
      <w:r w:rsidRPr="3A95F3E5">
        <w:rPr>
          <w:b/>
          <w:bCs/>
          <w:color w:val="auto"/>
          <w:sz w:val="24"/>
          <w:szCs w:val="24"/>
        </w:rPr>
        <w:t>Part D-E: Contemporary Frameworks and Future Trajectories</w:t>
      </w:r>
    </w:p>
    <w:p w14:paraId="477B0702" w14:textId="1A2BEC9C"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1. Current Legal Framework and Limitations. </w:t>
      </w:r>
      <w:r w:rsidRPr="3A95F3E5">
        <w:rPr>
          <w:sz w:val="24"/>
          <w:szCs w:val="24"/>
        </w:rPr>
        <w:t>Article 8(2)(b)(4) of the Rome Statute criminalizes intentionally causing “widespread, long-term and severe damage to the natural environment” that is “clearly excessive” relative to anticipated military advantage. Two limitations prevent effective application to cases like Ukraine’s atmospheric pollution. First, the provision applies only to international armed conflict, excluding peacetime environmental destruction. Second, the cumulative threshold requirements, proving damage is simultaneously widespread, long-term, and severe, plus demonstrating intentionality and absence of military justification, create barriers that virtually no prosecution could surmount under current interpretations.</w:t>
      </w:r>
    </w:p>
    <w:p w14:paraId="2C1AF362" w14:textId="53899630"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2. Ecocide Definition and Real-World Application. </w:t>
      </w:r>
      <w:r w:rsidRPr="3A95F3E5">
        <w:rPr>
          <w:sz w:val="24"/>
          <w:szCs w:val="24"/>
        </w:rPr>
        <w:t>Analyzing Fukushima’s water release under the proposed ecocide definition requires examining each element. “Wanton” demands reckless disregard for damage clearly excessive relative to anticipated benefits: Japan argues the release is necessary and safe, creating factual disputes. “Severe” requires very serious adverse changes to environmental elements or grave impacts on human life: long-term radiological effects remain scientifically contested. “Widespread” requires transboundary or ecosystem-wide damage: Pacific dispersal patterns would need evaluation. “Long-term” requires irreversibility or inability to recover within reasonable timeframes, radioactive decay timelines vary by isotope. The exercise demonstrates both the definition’s ambition and the evidentiary challenges any ecocide prosecution would face.</w:t>
      </w:r>
    </w:p>
    <w:p w14:paraId="7B041562" w14:textId="42EA1F8B"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3. Procedural Environmental Rights Implementation. </w:t>
      </w:r>
      <w:r w:rsidRPr="3A95F3E5">
        <w:rPr>
          <w:sz w:val="24"/>
          <w:szCs w:val="24"/>
        </w:rPr>
        <w:t xml:space="preserve">The Escazú Agreement builds on Aarhus's three pillars while adding protections reflecting Latin American realities. Most significantly, Escazú includes binding obligations to protect environmental defenders, a response to the region’s status as the deadliest for environmental activists. The agreement also emphasizes access rights for vulnerable populations and requires capacity-building assistance for communities seeking to exercise procedural rights. These additions acknowledge that formal </w:t>
      </w:r>
      <w:r w:rsidRPr="3A95F3E5">
        <w:rPr>
          <w:sz w:val="24"/>
          <w:szCs w:val="24"/>
        </w:rPr>
        <w:lastRenderedPageBreak/>
        <w:t>rights mean little without physical safety and practical resources to exercise them, addressing implementation gaps that have limited Aarhus's effectiveness for marginalized communities.</w:t>
      </w:r>
    </w:p>
    <w:p w14:paraId="34D24BBA" w14:textId="67CA3B6E" w:rsidR="0070589C" w:rsidRPr="00733FF8" w:rsidRDefault="3A95F3E5" w:rsidP="3A95F3E5">
      <w:pPr>
        <w:kinsoku w:val="0"/>
        <w:overflowPunct w:val="0"/>
        <w:spacing w:before="240" w:after="240"/>
        <w:ind w:firstLine="720"/>
        <w:rPr>
          <w:sz w:val="24"/>
          <w:szCs w:val="24"/>
        </w:rPr>
      </w:pPr>
      <w:r w:rsidRPr="3A95F3E5">
        <w:rPr>
          <w:b/>
          <w:bCs/>
          <w:sz w:val="24"/>
          <w:szCs w:val="24"/>
        </w:rPr>
        <w:t xml:space="preserve">4. Legal Reform Prospects and Political Challenges. </w:t>
      </w:r>
      <w:r w:rsidRPr="3A95F3E5">
        <w:rPr>
          <w:sz w:val="24"/>
          <w:szCs w:val="24"/>
        </w:rPr>
        <w:t>The ICC’s arrest warrant against Putin for child deportation, but not environmental crimes, reveals practical and political obstacles to ecocide prosecution. Proving environmental intent poses difficulties when defendants claim military necessity. Gathering evidence in active conflict zones challenges investigators. Perhaps most fundamentally, major powers resist expanding international criminal jurisdiction over their military and industrial activities. The Rome Statute's environmental provision has never produced a prosecution despite decades of armed conflicts causing massive environmental destruction. Adding ecocide as a fifth crime would require amending the Statute through a process requiring two-thirds approval from states parties, many of whom have reasons to resist expanding environmental criminal liability.</w:t>
      </w:r>
    </w:p>
    <w:p w14:paraId="40C5EA90" w14:textId="7F557118" w:rsidR="0070589C" w:rsidRPr="00733FF8" w:rsidRDefault="0070589C" w:rsidP="3A95F3E5">
      <w:pPr>
        <w:kinsoku w:val="0"/>
        <w:overflowPunct w:val="0"/>
        <w:spacing w:before="58"/>
      </w:pPr>
      <w:r>
        <w:br w:type="page"/>
      </w:r>
    </w:p>
    <w:p w14:paraId="5DB33852" w14:textId="1BAFF8EB" w:rsidR="0070589C" w:rsidRPr="00733FF8" w:rsidRDefault="3A95F3E5" w:rsidP="0070589C">
      <w:pPr>
        <w:pStyle w:val="Heading1"/>
        <w:kinsoku w:val="0"/>
        <w:overflowPunct w:val="0"/>
        <w:spacing w:before="58"/>
        <w:ind w:left="0"/>
        <w:rPr>
          <w:sz w:val="32"/>
          <w:szCs w:val="32"/>
        </w:rPr>
      </w:pPr>
      <w:r w:rsidRPr="3A95F3E5">
        <w:rPr>
          <w:sz w:val="32"/>
          <w:szCs w:val="32"/>
        </w:rPr>
        <w:lastRenderedPageBreak/>
        <w:t>Chapter 14</w:t>
      </w:r>
    </w:p>
    <w:p w14:paraId="3F8490E8" w14:textId="77777777" w:rsidR="0070589C" w:rsidRPr="00733FF8" w:rsidRDefault="0070589C" w:rsidP="0070589C">
      <w:pPr>
        <w:rPr>
          <w:b/>
          <w:sz w:val="32"/>
          <w:szCs w:val="32"/>
        </w:rPr>
      </w:pPr>
    </w:p>
    <w:p w14:paraId="5BB7FC6E" w14:textId="77777777" w:rsidR="0070589C" w:rsidRPr="00410E54" w:rsidRDefault="0070589C" w:rsidP="0070589C">
      <w:pPr>
        <w:rPr>
          <w:b/>
          <w:sz w:val="32"/>
          <w:szCs w:val="32"/>
        </w:rPr>
      </w:pPr>
      <w:r>
        <w:rPr>
          <w:b/>
          <w:sz w:val="32"/>
          <w:szCs w:val="32"/>
        </w:rPr>
        <w:t xml:space="preserve">Climate Justice </w:t>
      </w:r>
    </w:p>
    <w:p w14:paraId="3C5BF43C" w14:textId="77777777" w:rsidR="0070589C" w:rsidRDefault="0070589C" w:rsidP="0070589C">
      <w:pPr>
        <w:pStyle w:val="BodyText"/>
        <w:kinsoku w:val="0"/>
        <w:overflowPunct w:val="0"/>
        <w:ind w:right="897"/>
        <w:jc w:val="both"/>
      </w:pPr>
    </w:p>
    <w:p w14:paraId="2EB56755" w14:textId="77777777" w:rsidR="0070589C" w:rsidRPr="0028440F" w:rsidRDefault="0070589C" w:rsidP="0070589C">
      <w:pPr>
        <w:pStyle w:val="BodyText"/>
        <w:kinsoku w:val="0"/>
        <w:overflowPunct w:val="0"/>
        <w:ind w:right="897"/>
        <w:rPr>
          <w:b/>
        </w:rPr>
      </w:pPr>
      <w:r>
        <w:tab/>
      </w:r>
      <w:r w:rsidRPr="0028440F">
        <w:rPr>
          <w:b/>
        </w:rPr>
        <w:t>A.  Introduction</w:t>
      </w:r>
    </w:p>
    <w:p w14:paraId="0049F0F0" w14:textId="77777777" w:rsidR="0070589C" w:rsidRDefault="0070589C" w:rsidP="0070589C">
      <w:pPr>
        <w:pStyle w:val="BodyText"/>
        <w:kinsoku w:val="0"/>
        <w:overflowPunct w:val="0"/>
        <w:ind w:right="897" w:firstLine="720"/>
      </w:pPr>
    </w:p>
    <w:p w14:paraId="2FACDE7C" w14:textId="77777777" w:rsidR="0070589C" w:rsidRDefault="0070589C" w:rsidP="0070589C">
      <w:pPr>
        <w:pStyle w:val="BodyText"/>
        <w:kinsoku w:val="0"/>
        <w:overflowPunct w:val="0"/>
        <w:ind w:right="540" w:firstLine="720"/>
        <w:jc w:val="both"/>
      </w:pPr>
      <w:r w:rsidRPr="0028440F">
        <w:t xml:space="preserve">The introduction is self-explanatory. </w:t>
      </w:r>
      <w:r>
        <w:t xml:space="preserve">However, it is worth noting that students will inevitably have differing levels of knowledge on climate change and involvement in climate change movements, depending on their areas of expertise and life experiences. Throughout discussions on this chapter, instructors should urge students to act as both teachers and learners, and help each other understand the content by sharing knowledge, giving explanations based off experience, and listening to the opinions and experiences of other students. For students in writing seminar courses, the Pathfinder on Climate Justice will be especially helpful for research and examples of intersections between climate justice and other types of environmental justice. </w:t>
      </w:r>
    </w:p>
    <w:p w14:paraId="15E016D7" w14:textId="77777777" w:rsidR="0070589C" w:rsidRDefault="0070589C" w:rsidP="0070589C">
      <w:pPr>
        <w:pStyle w:val="BodyText"/>
        <w:kinsoku w:val="0"/>
        <w:overflowPunct w:val="0"/>
        <w:ind w:right="897" w:firstLine="720"/>
        <w:rPr>
          <w:b/>
        </w:rPr>
      </w:pPr>
    </w:p>
    <w:p w14:paraId="50D8E529" w14:textId="77777777" w:rsidR="0070589C" w:rsidRDefault="0070589C" w:rsidP="0070589C">
      <w:pPr>
        <w:pStyle w:val="BodyText"/>
        <w:kinsoku w:val="0"/>
        <w:overflowPunct w:val="0"/>
        <w:ind w:right="897" w:firstLine="720"/>
        <w:rPr>
          <w:b/>
        </w:rPr>
      </w:pPr>
      <w:r>
        <w:rPr>
          <w:b/>
        </w:rPr>
        <w:t xml:space="preserve">B.  Background on Climate Change </w:t>
      </w:r>
    </w:p>
    <w:p w14:paraId="2BDC326F" w14:textId="77777777" w:rsidR="0070589C" w:rsidRDefault="0070589C" w:rsidP="0070589C">
      <w:pPr>
        <w:pStyle w:val="BodyText"/>
        <w:kinsoku w:val="0"/>
        <w:overflowPunct w:val="0"/>
        <w:ind w:right="897"/>
        <w:jc w:val="center"/>
      </w:pPr>
    </w:p>
    <w:p w14:paraId="39878C50" w14:textId="77777777" w:rsidR="0070589C" w:rsidRDefault="0070589C" w:rsidP="0070589C">
      <w:pPr>
        <w:pStyle w:val="BodyText"/>
        <w:kinsoku w:val="0"/>
        <w:overflowPunct w:val="0"/>
        <w:ind w:right="540"/>
        <w:jc w:val="both"/>
      </w:pPr>
      <w:r>
        <w:tab/>
        <w:t xml:space="preserve">Students with questions on this section should consult reports released by the Intergovernmental Panel on Climate Change (IPCC), as it is one of the most respected sources in terms of the science of climate change. If students are writing papers on climate justice, the IPCC should serve as a key resource. </w:t>
      </w:r>
    </w:p>
    <w:p w14:paraId="201EB78D" w14:textId="77777777" w:rsidR="0070589C" w:rsidRDefault="0070589C" w:rsidP="0070589C">
      <w:pPr>
        <w:pStyle w:val="BodyText"/>
        <w:kinsoku w:val="0"/>
        <w:overflowPunct w:val="0"/>
        <w:ind w:right="897"/>
        <w:jc w:val="both"/>
      </w:pPr>
    </w:p>
    <w:p w14:paraId="55745192" w14:textId="77777777" w:rsidR="0070589C" w:rsidRDefault="0070589C" w:rsidP="0070589C">
      <w:pPr>
        <w:pStyle w:val="BodyText"/>
        <w:kinsoku w:val="0"/>
        <w:overflowPunct w:val="0"/>
        <w:ind w:right="540" w:firstLine="720"/>
        <w:jc w:val="both"/>
      </w:pPr>
      <w:r>
        <w:t xml:space="preserve">While this section is not the most uplifting, it is not meant to discourage students or make them feel like change is no longer possible; it is meant to give students, especially law students with little background in science, historical background on the root causes of climate change and the ways in which it has grown and changed in recent decades. Instructors could ask students to think about and share ways climate change is evident in their home communities or communities they are familiar with. For example, a student from central New Mexico may share childhood memories of dark thunderheads rolling into town every summer afternoon with no exception, and compare it to the present monsoon season, less than thirty years later, where summer rain is far less frequent and only occurs in late July. </w:t>
      </w:r>
    </w:p>
    <w:p w14:paraId="6A6A3477" w14:textId="77777777" w:rsidR="0070589C" w:rsidRDefault="0070589C" w:rsidP="0070589C">
      <w:pPr>
        <w:pStyle w:val="BodyText"/>
        <w:kinsoku w:val="0"/>
        <w:overflowPunct w:val="0"/>
        <w:ind w:right="897"/>
      </w:pPr>
    </w:p>
    <w:p w14:paraId="076B9EB0" w14:textId="77777777" w:rsidR="0070589C" w:rsidRPr="00676A70" w:rsidRDefault="0070589C" w:rsidP="0070589C">
      <w:pPr>
        <w:pStyle w:val="BodyText"/>
        <w:kinsoku w:val="0"/>
        <w:overflowPunct w:val="0"/>
        <w:ind w:right="897" w:firstLine="720"/>
        <w:jc w:val="both"/>
        <w:rPr>
          <w:b/>
        </w:rPr>
      </w:pPr>
      <w:r w:rsidRPr="00676A70">
        <w:rPr>
          <w:b/>
        </w:rPr>
        <w:t xml:space="preserve">C.  </w:t>
      </w:r>
      <w:r>
        <w:rPr>
          <w:b/>
        </w:rPr>
        <w:t xml:space="preserve">The Disproportionate Impacts of Climate Change </w:t>
      </w:r>
    </w:p>
    <w:p w14:paraId="46B3772A" w14:textId="77777777" w:rsidR="0070589C" w:rsidRDefault="0070589C" w:rsidP="0070589C">
      <w:pPr>
        <w:pStyle w:val="BodyText"/>
        <w:kinsoku w:val="0"/>
        <w:overflowPunct w:val="0"/>
        <w:ind w:right="897"/>
        <w:jc w:val="both"/>
      </w:pPr>
    </w:p>
    <w:p w14:paraId="6DEF6D0F" w14:textId="77777777" w:rsidR="0070589C" w:rsidRDefault="0070589C" w:rsidP="0070589C">
      <w:pPr>
        <w:pStyle w:val="BodyText"/>
        <w:kinsoku w:val="0"/>
        <w:overflowPunct w:val="0"/>
        <w:ind w:right="540"/>
        <w:jc w:val="both"/>
      </w:pPr>
      <w:r>
        <w:t xml:space="preserve"> </w:t>
      </w:r>
      <w:r>
        <w:tab/>
        <w:t xml:space="preserve">This section will be especially digestible for students with more knowledge about the justice aspects of climate change than the scientific aspects. Essentially, this section functions to highlight the intersections between climate justice and other environmental justice issues. Similar to all environmental justice issues, the causes of climate change and the adverse effects of climate change are not distributed equally across the global population. Figures 14-5 and 14-6 (Text, p. 485-486) are helpful in understanding where majority of emission and greenhouse gas pollution originates from.  </w:t>
      </w:r>
    </w:p>
    <w:p w14:paraId="1537BA62" w14:textId="77777777" w:rsidR="0070589C" w:rsidRDefault="0070589C" w:rsidP="0070589C">
      <w:pPr>
        <w:pStyle w:val="BodyText"/>
        <w:kinsoku w:val="0"/>
        <w:overflowPunct w:val="0"/>
        <w:ind w:right="897"/>
        <w:jc w:val="both"/>
      </w:pPr>
    </w:p>
    <w:p w14:paraId="15F604AA" w14:textId="77777777" w:rsidR="0070589C" w:rsidRPr="009358B1" w:rsidRDefault="0070589C" w:rsidP="0070589C">
      <w:pPr>
        <w:pStyle w:val="BodyText"/>
        <w:kinsoku w:val="0"/>
        <w:overflowPunct w:val="0"/>
        <w:ind w:right="897"/>
        <w:jc w:val="center"/>
        <w:rPr>
          <w:b/>
          <w:bCs/>
          <w:iCs/>
          <w:sz w:val="28"/>
          <w:szCs w:val="28"/>
        </w:rPr>
      </w:pPr>
      <w:r w:rsidRPr="003424F2">
        <w:rPr>
          <w:b/>
          <w:bCs/>
          <w:sz w:val="28"/>
          <w:szCs w:val="28"/>
        </w:rPr>
        <w:t xml:space="preserve">Maxine Burkett, </w:t>
      </w:r>
      <w:r w:rsidRPr="003424F2">
        <w:rPr>
          <w:b/>
          <w:bCs/>
          <w:i/>
          <w:iCs/>
          <w:sz w:val="28"/>
          <w:szCs w:val="28"/>
        </w:rPr>
        <w:t>Rehabilitation:</w:t>
      </w:r>
      <w:r w:rsidRPr="003424F2">
        <w:rPr>
          <w:b/>
          <w:bCs/>
          <w:sz w:val="28"/>
          <w:szCs w:val="28"/>
        </w:rPr>
        <w:t xml:space="preserve"> </w:t>
      </w:r>
      <w:r w:rsidRPr="003424F2">
        <w:rPr>
          <w:b/>
          <w:bCs/>
          <w:i/>
          <w:iCs/>
          <w:sz w:val="28"/>
          <w:szCs w:val="28"/>
        </w:rPr>
        <w:t>A Proposal for a Climate Compensation Mechanism for Small Island States</w:t>
      </w:r>
      <w:r>
        <w:rPr>
          <w:b/>
          <w:bCs/>
          <w:i/>
          <w:iCs/>
          <w:sz w:val="28"/>
          <w:szCs w:val="28"/>
        </w:rPr>
        <w:t xml:space="preserve"> </w:t>
      </w:r>
      <w:r>
        <w:rPr>
          <w:b/>
          <w:bCs/>
          <w:iCs/>
          <w:sz w:val="28"/>
          <w:szCs w:val="28"/>
        </w:rPr>
        <w:t>(2015)</w:t>
      </w:r>
    </w:p>
    <w:p w14:paraId="1A1DB70A" w14:textId="77777777" w:rsidR="0070589C" w:rsidRDefault="0070589C" w:rsidP="0070589C">
      <w:pPr>
        <w:pStyle w:val="BodyText"/>
        <w:kinsoku w:val="0"/>
        <w:overflowPunct w:val="0"/>
        <w:ind w:right="897"/>
        <w:rPr>
          <w:b/>
          <w:bCs/>
          <w:i/>
          <w:iCs/>
        </w:rPr>
      </w:pPr>
    </w:p>
    <w:p w14:paraId="0103C6D7" w14:textId="77777777" w:rsidR="0070589C" w:rsidRPr="00AA56BF" w:rsidRDefault="0070589C" w:rsidP="0070589C">
      <w:pPr>
        <w:widowControl/>
        <w:autoSpaceDE/>
        <w:autoSpaceDN/>
        <w:adjustRightInd/>
        <w:ind w:right="540"/>
        <w:jc w:val="both"/>
        <w:rPr>
          <w:rFonts w:eastAsia="Times New Roman"/>
          <w:sz w:val="24"/>
          <w:szCs w:val="24"/>
        </w:rPr>
      </w:pPr>
      <w:r>
        <w:tab/>
      </w:r>
      <w:r w:rsidRPr="00991E75">
        <w:rPr>
          <w:sz w:val="24"/>
          <w:szCs w:val="24"/>
        </w:rPr>
        <w:t xml:space="preserve">After reading this excerpt by </w:t>
      </w:r>
      <w:r>
        <w:rPr>
          <w:sz w:val="24"/>
          <w:szCs w:val="24"/>
        </w:rPr>
        <w:t>Professor</w:t>
      </w:r>
      <w:r w:rsidRPr="00991E75">
        <w:rPr>
          <w:sz w:val="24"/>
          <w:szCs w:val="24"/>
        </w:rPr>
        <w:t xml:space="preserve"> Burkett, instructors may want to show examples of specific island states affected by global warming so students can better visualize the impacts on a community. Here are some video clips </w:t>
      </w:r>
      <w:r>
        <w:rPr>
          <w:sz w:val="24"/>
          <w:szCs w:val="24"/>
        </w:rPr>
        <w:t>about Kiribati, the Maldives, and the Carteret Islands that</w:t>
      </w:r>
      <w:r w:rsidRPr="00991E75">
        <w:rPr>
          <w:sz w:val="24"/>
          <w:szCs w:val="24"/>
        </w:rPr>
        <w:t xml:space="preserve"> humanize the issues island states are experiencing as a result of developed nati</w:t>
      </w:r>
      <w:r>
        <w:rPr>
          <w:sz w:val="24"/>
          <w:szCs w:val="24"/>
        </w:rPr>
        <w:t>ons’ use of emissions and green</w:t>
      </w:r>
      <w:r w:rsidRPr="00991E75">
        <w:rPr>
          <w:sz w:val="24"/>
          <w:szCs w:val="24"/>
        </w:rPr>
        <w:t xml:space="preserve">house gasses: </w:t>
      </w:r>
      <w:hyperlink r:id="rId67" w:history="1">
        <w:r w:rsidRPr="00991E75">
          <w:rPr>
            <w:rFonts w:eastAsia="Times New Roman"/>
            <w:color w:val="0000FF"/>
            <w:sz w:val="24"/>
            <w:szCs w:val="24"/>
            <w:u w:val="single"/>
          </w:rPr>
          <w:t>https://www.youtube.com/watch?v=cIG7vt1ZPKE</w:t>
        </w:r>
      </w:hyperlink>
      <w:r>
        <w:rPr>
          <w:rFonts w:eastAsia="Times New Roman"/>
          <w:sz w:val="24"/>
          <w:szCs w:val="24"/>
        </w:rPr>
        <w:t xml:space="preserve"> (six minutes long), </w:t>
      </w:r>
      <w:hyperlink r:id="rId68" w:history="1">
        <w:r w:rsidRPr="00AA56BF">
          <w:rPr>
            <w:rFonts w:eastAsia="Times New Roman"/>
            <w:color w:val="0000FF"/>
            <w:sz w:val="24"/>
            <w:szCs w:val="24"/>
            <w:u w:val="single"/>
          </w:rPr>
          <w:t>https://www.youtube.com/watch?v=mKoppdJ6H4c</w:t>
        </w:r>
      </w:hyperlink>
      <w:r>
        <w:rPr>
          <w:rFonts w:eastAsia="Times New Roman"/>
          <w:sz w:val="24"/>
          <w:szCs w:val="24"/>
        </w:rPr>
        <w:t xml:space="preserve"> (eleven minutes long), </w:t>
      </w:r>
      <w:hyperlink r:id="rId69" w:history="1">
        <w:r w:rsidRPr="00AA56BF">
          <w:rPr>
            <w:rFonts w:eastAsia="Times New Roman"/>
            <w:color w:val="0000FF"/>
            <w:sz w:val="24"/>
            <w:szCs w:val="24"/>
            <w:u w:val="single"/>
          </w:rPr>
          <w:t>https://www.youtube.com/watch?v=0XDHMgqlcEU</w:t>
        </w:r>
      </w:hyperlink>
      <w:r>
        <w:rPr>
          <w:rFonts w:eastAsia="Times New Roman"/>
          <w:sz w:val="24"/>
          <w:szCs w:val="24"/>
        </w:rPr>
        <w:t xml:space="preserve"> (eight minutes long). </w:t>
      </w:r>
    </w:p>
    <w:p w14:paraId="08EFCF2B" w14:textId="77777777" w:rsidR="0070589C" w:rsidRPr="00AA56BF" w:rsidRDefault="0070589C" w:rsidP="0070589C">
      <w:pPr>
        <w:widowControl/>
        <w:autoSpaceDE/>
        <w:autoSpaceDN/>
        <w:adjustRightInd/>
        <w:rPr>
          <w:rFonts w:eastAsia="Times New Roman"/>
          <w:sz w:val="24"/>
          <w:szCs w:val="24"/>
        </w:rPr>
      </w:pPr>
    </w:p>
    <w:p w14:paraId="72EB6CC7" w14:textId="77777777" w:rsidR="0070589C" w:rsidRPr="00AA56BF" w:rsidRDefault="0070589C" w:rsidP="0070589C">
      <w:pPr>
        <w:widowControl/>
        <w:autoSpaceDE/>
        <w:autoSpaceDN/>
        <w:adjustRightInd/>
        <w:jc w:val="center"/>
        <w:rPr>
          <w:rFonts w:eastAsia="Times New Roman"/>
          <w:sz w:val="24"/>
          <w:szCs w:val="24"/>
        </w:rPr>
      </w:pPr>
      <w:r w:rsidRPr="00ED6C7D">
        <w:rPr>
          <w:b/>
          <w:i/>
          <w:sz w:val="28"/>
          <w:szCs w:val="28"/>
        </w:rPr>
        <w:t>Notes and Questions</w:t>
      </w:r>
    </w:p>
    <w:p w14:paraId="4CB8F090" w14:textId="77777777" w:rsidR="0070589C" w:rsidRDefault="0070589C" w:rsidP="0070589C">
      <w:pPr>
        <w:pStyle w:val="BodyText"/>
        <w:kinsoku w:val="0"/>
        <w:overflowPunct w:val="0"/>
        <w:ind w:right="897"/>
      </w:pPr>
    </w:p>
    <w:p w14:paraId="6DF19382" w14:textId="77777777" w:rsidR="0070589C" w:rsidRDefault="0070589C" w:rsidP="0070589C">
      <w:pPr>
        <w:pStyle w:val="BodyText"/>
        <w:kinsoku w:val="0"/>
        <w:overflowPunct w:val="0"/>
        <w:ind w:right="540"/>
        <w:jc w:val="both"/>
      </w:pPr>
      <w:r>
        <w:tab/>
      </w:r>
      <w:r w:rsidRPr="00ED6C7D">
        <w:rPr>
          <w:b/>
        </w:rPr>
        <w:t xml:space="preserve">1.  </w:t>
      </w:r>
      <w:r w:rsidRPr="00AA56BF">
        <w:rPr>
          <w:b/>
          <w:iCs/>
        </w:rPr>
        <w:t>Re</w:t>
      </w:r>
      <w:r>
        <w:rPr>
          <w:b/>
          <w:iCs/>
        </w:rPr>
        <w:t>settlement</w:t>
      </w:r>
      <w:r w:rsidRPr="00ED6C7D">
        <w:rPr>
          <w:b/>
        </w:rPr>
        <w:t>.</w:t>
      </w:r>
      <w:r>
        <w:t xml:space="preserve"> The third YouTube link above, about the Carteret Islands, discusses resettlement and the impacts on the members of the island nation. On the Carteret Islands, many residents are against resettlement because they feel as though their culture and traditions will be left behind. As a community where women traditionally serve in leadership roles and are highly valued, the community is worried about their ability to maintain these values on different land. Students may be asked to brainstorm ways in which populations could resettle without losing their culture. As an assignment, students could be asked to research whether any countries near struggling island nations have offered job support, resources such as food and housing, etc. </w:t>
      </w:r>
    </w:p>
    <w:p w14:paraId="67B4E234" w14:textId="77777777" w:rsidR="0070589C" w:rsidRPr="002C475D" w:rsidRDefault="0070589C" w:rsidP="0070589C">
      <w:pPr>
        <w:pStyle w:val="BodyText"/>
        <w:kinsoku w:val="0"/>
        <w:overflowPunct w:val="0"/>
        <w:ind w:right="897"/>
        <w:jc w:val="both"/>
      </w:pPr>
    </w:p>
    <w:p w14:paraId="2156C806" w14:textId="77777777" w:rsidR="0070589C" w:rsidRDefault="0070589C" w:rsidP="0070589C">
      <w:pPr>
        <w:pStyle w:val="BodyText"/>
        <w:kinsoku w:val="0"/>
        <w:overflowPunct w:val="0"/>
        <w:ind w:right="540"/>
        <w:jc w:val="both"/>
      </w:pPr>
      <w:r>
        <w:rPr>
          <w:b/>
        </w:rPr>
        <w:t xml:space="preserve"> </w:t>
      </w:r>
      <w:r>
        <w:rPr>
          <w:b/>
        </w:rPr>
        <w:tab/>
      </w:r>
      <w:r w:rsidRPr="00461924">
        <w:rPr>
          <w:b/>
        </w:rPr>
        <w:t xml:space="preserve">2.  </w:t>
      </w:r>
      <w:r>
        <w:rPr>
          <w:b/>
        </w:rPr>
        <w:t>Compensation?</w:t>
      </w:r>
      <w:r>
        <w:t xml:space="preserve">  Students should question whether a compensatory scheme, as suggested by Professor Burkett, would be viable and successful. In what ways is monetary aid helpful, and in what ways is it limited? Thinking about the video clips above, students should also be urged to consider which fears and worries of residents forced to resettle could not be mitigated by monetary aid. Finally, thinking about the four theories of justice, where does compensation fit? </w:t>
      </w:r>
    </w:p>
    <w:p w14:paraId="19444D92" w14:textId="77777777" w:rsidR="0070589C" w:rsidRDefault="0070589C" w:rsidP="0070589C">
      <w:pPr>
        <w:pStyle w:val="BodyText"/>
        <w:kinsoku w:val="0"/>
        <w:overflowPunct w:val="0"/>
        <w:ind w:right="897"/>
        <w:jc w:val="both"/>
      </w:pPr>
    </w:p>
    <w:p w14:paraId="6C60A723" w14:textId="77777777" w:rsidR="0070589C" w:rsidRDefault="0070589C" w:rsidP="0070589C">
      <w:pPr>
        <w:pStyle w:val="BodyText"/>
        <w:kinsoku w:val="0"/>
        <w:overflowPunct w:val="0"/>
        <w:ind w:right="897"/>
        <w:jc w:val="center"/>
        <w:rPr>
          <w:b/>
          <w:bCs/>
        </w:rPr>
      </w:pPr>
    </w:p>
    <w:p w14:paraId="52F8E665" w14:textId="77777777" w:rsidR="0070589C" w:rsidRPr="009358B1" w:rsidRDefault="0070589C" w:rsidP="0070589C">
      <w:pPr>
        <w:pStyle w:val="BodyText"/>
        <w:kinsoku w:val="0"/>
        <w:overflowPunct w:val="0"/>
        <w:ind w:right="897"/>
        <w:jc w:val="center"/>
        <w:rPr>
          <w:b/>
          <w:bCs/>
          <w:iCs/>
          <w:sz w:val="28"/>
          <w:szCs w:val="28"/>
        </w:rPr>
      </w:pPr>
      <w:r w:rsidRPr="003424F2">
        <w:rPr>
          <w:b/>
          <w:bCs/>
          <w:sz w:val="28"/>
          <w:szCs w:val="28"/>
        </w:rPr>
        <w:t xml:space="preserve">Randall S. Abate &amp; Elizabeth Ann Kronk, </w:t>
      </w:r>
      <w:r w:rsidRPr="003424F2">
        <w:rPr>
          <w:b/>
          <w:bCs/>
          <w:i/>
          <w:iCs/>
          <w:sz w:val="28"/>
          <w:szCs w:val="28"/>
        </w:rPr>
        <w:t>Commonality among Unique Indigenous Communities: An Introduction to Climate Change and Its Impact on Indigenous Peoples</w:t>
      </w:r>
      <w:r>
        <w:rPr>
          <w:b/>
          <w:bCs/>
          <w:iCs/>
          <w:sz w:val="28"/>
          <w:szCs w:val="28"/>
        </w:rPr>
        <w:t xml:space="preserve"> (2013)</w:t>
      </w:r>
    </w:p>
    <w:p w14:paraId="31AB941F" w14:textId="77777777" w:rsidR="0070589C" w:rsidRPr="006379C2" w:rsidRDefault="0070589C" w:rsidP="0070589C">
      <w:pPr>
        <w:pStyle w:val="BodyText"/>
        <w:kinsoku w:val="0"/>
        <w:overflowPunct w:val="0"/>
        <w:ind w:right="897"/>
        <w:jc w:val="center"/>
        <w:rPr>
          <w:b/>
          <w:bCs/>
        </w:rPr>
      </w:pPr>
    </w:p>
    <w:p w14:paraId="1E5E4487" w14:textId="77777777" w:rsidR="0070589C" w:rsidRPr="00B23325" w:rsidRDefault="0070589C" w:rsidP="0070589C">
      <w:pPr>
        <w:jc w:val="center"/>
        <w:rPr>
          <w:b/>
          <w:i/>
          <w:sz w:val="28"/>
          <w:szCs w:val="28"/>
        </w:rPr>
      </w:pPr>
      <w:r w:rsidRPr="00B23325">
        <w:rPr>
          <w:b/>
          <w:i/>
          <w:sz w:val="28"/>
          <w:szCs w:val="28"/>
        </w:rPr>
        <w:t>Notes and Questions</w:t>
      </w:r>
    </w:p>
    <w:p w14:paraId="2177ABAA" w14:textId="77777777" w:rsidR="0070589C" w:rsidRDefault="0070589C" w:rsidP="0070589C">
      <w:pPr>
        <w:rPr>
          <w:sz w:val="24"/>
          <w:szCs w:val="24"/>
        </w:rPr>
      </w:pPr>
    </w:p>
    <w:p w14:paraId="07014A37" w14:textId="77777777" w:rsidR="0070589C" w:rsidRPr="003D2800" w:rsidRDefault="0070589C" w:rsidP="0070589C">
      <w:pPr>
        <w:ind w:right="540"/>
        <w:jc w:val="both"/>
        <w:rPr>
          <w:sz w:val="24"/>
          <w:szCs w:val="24"/>
        </w:rPr>
      </w:pPr>
      <w:r>
        <w:rPr>
          <w:sz w:val="24"/>
          <w:szCs w:val="24"/>
        </w:rPr>
        <w:tab/>
      </w:r>
      <w:r w:rsidRPr="00B23325">
        <w:rPr>
          <w:b/>
          <w:sz w:val="24"/>
          <w:szCs w:val="24"/>
        </w:rPr>
        <w:t xml:space="preserve">1.  </w:t>
      </w:r>
      <w:r>
        <w:rPr>
          <w:b/>
          <w:sz w:val="24"/>
          <w:szCs w:val="24"/>
        </w:rPr>
        <w:t xml:space="preserve">Right to redress.  </w:t>
      </w:r>
      <w:r>
        <w:rPr>
          <w:sz w:val="24"/>
          <w:szCs w:val="24"/>
        </w:rPr>
        <w:t>By its terms, UNDRIP appears to require redress for climate change when the lands of indigenous peoples are “damaged without their free, prior and informed consent.”  However, this concept has proven extremely contentious in diplomatic circles and was largely set aside in negotiations of the Paris Agreement.  For students interested in this subject, instructors may recommend reading the Paris Agreement, art. 8, referencing the Warsaw International Mechanism for Loss and Damage associated with Climate Change.</w:t>
      </w:r>
    </w:p>
    <w:p w14:paraId="5788CEF6" w14:textId="77777777" w:rsidR="0070589C" w:rsidRDefault="0070589C" w:rsidP="0070589C">
      <w:pPr>
        <w:jc w:val="both"/>
        <w:rPr>
          <w:sz w:val="24"/>
          <w:szCs w:val="24"/>
        </w:rPr>
      </w:pPr>
    </w:p>
    <w:p w14:paraId="367888F0" w14:textId="77777777" w:rsidR="0070589C" w:rsidRPr="005368B7" w:rsidRDefault="0070589C" w:rsidP="0070589C">
      <w:pPr>
        <w:ind w:right="540"/>
        <w:jc w:val="both"/>
        <w:rPr>
          <w:bCs/>
          <w:sz w:val="24"/>
          <w:szCs w:val="24"/>
        </w:rPr>
      </w:pPr>
      <w:r>
        <w:rPr>
          <w:sz w:val="24"/>
          <w:szCs w:val="24"/>
        </w:rPr>
        <w:tab/>
      </w:r>
      <w:r w:rsidRPr="005B642B">
        <w:rPr>
          <w:b/>
          <w:sz w:val="24"/>
          <w:szCs w:val="24"/>
        </w:rPr>
        <w:t xml:space="preserve">2.  </w:t>
      </w:r>
      <w:r>
        <w:rPr>
          <w:b/>
          <w:sz w:val="24"/>
          <w:szCs w:val="24"/>
        </w:rPr>
        <w:t xml:space="preserve">Risk of violence. </w:t>
      </w:r>
      <w:r w:rsidRPr="006379C2">
        <w:rPr>
          <w:bCs/>
          <w:sz w:val="24"/>
          <w:szCs w:val="24"/>
        </w:rPr>
        <w:t>This note is self-explanatory.</w:t>
      </w:r>
      <w:r>
        <w:rPr>
          <w:b/>
          <w:sz w:val="24"/>
          <w:szCs w:val="24"/>
        </w:rPr>
        <w:t xml:space="preserve"> </w:t>
      </w:r>
      <w:r>
        <w:rPr>
          <w:bCs/>
          <w:sz w:val="24"/>
          <w:szCs w:val="24"/>
        </w:rPr>
        <w:t xml:space="preserve">Law students may be able to brainstorm or research what remedies exist for human rights violations in their states. </w:t>
      </w:r>
      <w:r>
        <w:rPr>
          <w:bCs/>
          <w:sz w:val="24"/>
          <w:szCs w:val="24"/>
        </w:rPr>
        <w:lastRenderedPageBreak/>
        <w:t xml:space="preserve">Students should question whether their state’s human rights laws have teeth and are truly enforceable. </w:t>
      </w:r>
    </w:p>
    <w:p w14:paraId="492A234C" w14:textId="77777777" w:rsidR="0070589C" w:rsidRDefault="0070589C" w:rsidP="0070589C">
      <w:pPr>
        <w:rPr>
          <w:sz w:val="24"/>
          <w:szCs w:val="24"/>
        </w:rPr>
      </w:pPr>
    </w:p>
    <w:p w14:paraId="7098F8B7" w14:textId="77777777" w:rsidR="0070589C" w:rsidRDefault="0070589C" w:rsidP="0070589C">
      <w:pPr>
        <w:ind w:firstLine="720"/>
        <w:rPr>
          <w:b/>
          <w:sz w:val="24"/>
          <w:szCs w:val="24"/>
        </w:rPr>
      </w:pPr>
      <w:r w:rsidRPr="0056243F">
        <w:rPr>
          <w:b/>
          <w:sz w:val="24"/>
          <w:szCs w:val="24"/>
        </w:rPr>
        <w:t xml:space="preserve">D. </w:t>
      </w:r>
      <w:r>
        <w:rPr>
          <w:b/>
          <w:sz w:val="24"/>
          <w:szCs w:val="24"/>
        </w:rPr>
        <w:t xml:space="preserve">Impacts in the United States </w:t>
      </w:r>
    </w:p>
    <w:p w14:paraId="378A8A14" w14:textId="77777777" w:rsidR="0070589C" w:rsidRDefault="0070589C" w:rsidP="0070589C">
      <w:pPr>
        <w:rPr>
          <w:b/>
          <w:sz w:val="24"/>
          <w:szCs w:val="24"/>
        </w:rPr>
      </w:pPr>
    </w:p>
    <w:p w14:paraId="58DFF602" w14:textId="77777777" w:rsidR="0070589C" w:rsidRPr="003424F2" w:rsidRDefault="0070589C" w:rsidP="0070589C">
      <w:pPr>
        <w:jc w:val="center"/>
        <w:rPr>
          <w:b/>
          <w:sz w:val="28"/>
          <w:szCs w:val="28"/>
        </w:rPr>
      </w:pPr>
      <w:r w:rsidRPr="003424F2">
        <w:rPr>
          <w:b/>
          <w:sz w:val="28"/>
          <w:szCs w:val="28"/>
        </w:rPr>
        <w:t xml:space="preserve">Congressional Black Caucus Foundation, </w:t>
      </w:r>
    </w:p>
    <w:p w14:paraId="22ED9547" w14:textId="77777777" w:rsidR="0070589C" w:rsidRPr="003424F2" w:rsidRDefault="0070589C" w:rsidP="0070589C">
      <w:pPr>
        <w:jc w:val="center"/>
        <w:rPr>
          <w:b/>
          <w:sz w:val="28"/>
          <w:szCs w:val="28"/>
        </w:rPr>
      </w:pPr>
      <w:r w:rsidRPr="003424F2">
        <w:rPr>
          <w:b/>
          <w:sz w:val="28"/>
          <w:szCs w:val="28"/>
        </w:rPr>
        <w:t xml:space="preserve">African Americans and Climate Change: </w:t>
      </w:r>
    </w:p>
    <w:p w14:paraId="0F848383" w14:textId="77777777" w:rsidR="0070589C" w:rsidRPr="003424F2" w:rsidRDefault="0070589C" w:rsidP="0070589C">
      <w:pPr>
        <w:jc w:val="center"/>
        <w:rPr>
          <w:b/>
          <w:sz w:val="28"/>
          <w:szCs w:val="28"/>
        </w:rPr>
      </w:pPr>
      <w:r w:rsidRPr="003424F2">
        <w:rPr>
          <w:b/>
          <w:sz w:val="28"/>
          <w:szCs w:val="28"/>
        </w:rPr>
        <w:t>An Unequal Burden</w:t>
      </w:r>
      <w:r>
        <w:rPr>
          <w:b/>
          <w:sz w:val="28"/>
          <w:szCs w:val="28"/>
        </w:rPr>
        <w:t xml:space="preserve"> (2004)</w:t>
      </w:r>
    </w:p>
    <w:p w14:paraId="69B5ED56" w14:textId="77777777" w:rsidR="0070589C" w:rsidRDefault="0070589C" w:rsidP="0070589C">
      <w:pPr>
        <w:rPr>
          <w:b/>
          <w:sz w:val="24"/>
          <w:szCs w:val="24"/>
        </w:rPr>
      </w:pPr>
    </w:p>
    <w:p w14:paraId="035EF7A7" w14:textId="77777777" w:rsidR="0070589C" w:rsidRDefault="0070589C" w:rsidP="0070589C">
      <w:pPr>
        <w:ind w:right="540" w:firstLine="720"/>
        <w:jc w:val="both"/>
        <w:rPr>
          <w:sz w:val="24"/>
          <w:szCs w:val="24"/>
        </w:rPr>
      </w:pPr>
      <w:r>
        <w:rPr>
          <w:b/>
          <w:sz w:val="24"/>
          <w:szCs w:val="24"/>
        </w:rPr>
        <w:t xml:space="preserve">1. </w:t>
      </w:r>
      <w:r>
        <w:rPr>
          <w:sz w:val="24"/>
          <w:szCs w:val="24"/>
        </w:rPr>
        <w:t xml:space="preserve"> Encourage students to think about parallels between structural inequalities arising out of climate change and structural inequalities arising out of other environmental justice issues, such as responses to disasters like pandemics (explored further in Chapter 15, “Disaster Justice”). Students should be able to think of other populations disproportionately impacted by climate change as well. For example, in past years, victims of California forest fires have frequently been those with limited mobility, including disabled and elderly populations. </w:t>
      </w:r>
    </w:p>
    <w:p w14:paraId="6D4F7B5C" w14:textId="77777777" w:rsidR="0070589C" w:rsidRDefault="0070589C" w:rsidP="0070589C">
      <w:pPr>
        <w:ind w:firstLine="720"/>
        <w:jc w:val="both"/>
        <w:rPr>
          <w:sz w:val="24"/>
          <w:szCs w:val="24"/>
        </w:rPr>
      </w:pPr>
    </w:p>
    <w:p w14:paraId="1D3C7362" w14:textId="77777777" w:rsidR="0070589C" w:rsidRDefault="0070589C" w:rsidP="0070589C">
      <w:pPr>
        <w:ind w:right="540" w:firstLine="720"/>
        <w:jc w:val="both"/>
        <w:rPr>
          <w:bCs/>
          <w:sz w:val="24"/>
          <w:szCs w:val="24"/>
        </w:rPr>
      </w:pPr>
      <w:r w:rsidRPr="000640FC">
        <w:rPr>
          <w:b/>
          <w:sz w:val="24"/>
          <w:szCs w:val="24"/>
        </w:rPr>
        <w:t xml:space="preserve">2.  </w:t>
      </w:r>
      <w:r w:rsidRPr="0011785D">
        <w:rPr>
          <w:bCs/>
          <w:sz w:val="24"/>
          <w:szCs w:val="24"/>
        </w:rPr>
        <w:t xml:space="preserve">While </w:t>
      </w:r>
      <w:r>
        <w:rPr>
          <w:bCs/>
          <w:sz w:val="24"/>
          <w:szCs w:val="24"/>
        </w:rPr>
        <w:t xml:space="preserve">thinking about vulnerable populations and the difficulty these populations can have with adapting, students should also be encouraged to think about ways in which these populations express resilience (See Chapter 15 for more discussion on types of resiliency). Students may have direct experience growing up in or working with communities plagued with structural inequalities, and where there are discussions about vulnerabilities, resilience should be highlighted as well. </w:t>
      </w:r>
    </w:p>
    <w:p w14:paraId="33232CED" w14:textId="77777777" w:rsidR="0070589C" w:rsidRDefault="0070589C" w:rsidP="0070589C">
      <w:pPr>
        <w:ind w:right="828" w:firstLine="720"/>
        <w:jc w:val="both"/>
        <w:rPr>
          <w:bCs/>
          <w:sz w:val="24"/>
          <w:szCs w:val="24"/>
        </w:rPr>
      </w:pPr>
    </w:p>
    <w:p w14:paraId="677F4E05" w14:textId="77777777" w:rsidR="0070589C" w:rsidRDefault="0070589C" w:rsidP="0070589C">
      <w:pPr>
        <w:ind w:right="540" w:firstLine="720"/>
        <w:jc w:val="both"/>
        <w:rPr>
          <w:bCs/>
          <w:sz w:val="24"/>
          <w:szCs w:val="24"/>
        </w:rPr>
      </w:pPr>
      <w:r w:rsidRPr="00FF4520">
        <w:rPr>
          <w:b/>
          <w:sz w:val="24"/>
          <w:szCs w:val="24"/>
        </w:rPr>
        <w:t>3.</w:t>
      </w:r>
      <w:r>
        <w:rPr>
          <w:bCs/>
          <w:sz w:val="24"/>
          <w:szCs w:val="24"/>
        </w:rPr>
        <w:t xml:space="preserve">    This note is mostly self-explanatory. To inform their answers, students may want to consider why color-blind policies are often problematic. </w:t>
      </w:r>
    </w:p>
    <w:p w14:paraId="19E1126D" w14:textId="77777777" w:rsidR="0070589C" w:rsidRDefault="0070589C" w:rsidP="0070589C">
      <w:pPr>
        <w:ind w:right="828" w:firstLine="720"/>
        <w:jc w:val="both"/>
        <w:rPr>
          <w:bCs/>
          <w:sz w:val="24"/>
          <w:szCs w:val="24"/>
        </w:rPr>
      </w:pPr>
    </w:p>
    <w:p w14:paraId="6A8C95B2" w14:textId="77777777" w:rsidR="0070589C" w:rsidRPr="00FF4520" w:rsidRDefault="0070589C" w:rsidP="0070589C">
      <w:pPr>
        <w:ind w:right="540" w:firstLine="720"/>
        <w:jc w:val="both"/>
        <w:rPr>
          <w:b/>
          <w:sz w:val="24"/>
          <w:szCs w:val="24"/>
        </w:rPr>
      </w:pPr>
      <w:r w:rsidRPr="00FF4520">
        <w:rPr>
          <w:b/>
          <w:sz w:val="24"/>
          <w:szCs w:val="24"/>
        </w:rPr>
        <w:t xml:space="preserve">4. </w:t>
      </w:r>
      <w:r>
        <w:rPr>
          <w:b/>
          <w:sz w:val="24"/>
          <w:szCs w:val="24"/>
        </w:rPr>
        <w:t xml:space="preserve">  </w:t>
      </w:r>
      <w:r w:rsidRPr="00FF4520">
        <w:rPr>
          <w:bCs/>
          <w:sz w:val="24"/>
          <w:szCs w:val="24"/>
        </w:rPr>
        <w:t xml:space="preserve">This </w:t>
      </w:r>
      <w:r>
        <w:rPr>
          <w:bCs/>
          <w:sz w:val="24"/>
          <w:szCs w:val="24"/>
        </w:rPr>
        <w:t xml:space="preserve">note provides an opportunity for students to draft policies and programs to control carbon emissions. Students could do this in small groups or individually. While creating a program proposal, students should question how to equitably create programs when Americans are not equally responsible for emissions of carbon dioxide. </w:t>
      </w:r>
    </w:p>
    <w:p w14:paraId="2E57AD0D" w14:textId="77777777" w:rsidR="0070589C" w:rsidRDefault="0070589C" w:rsidP="0070589C">
      <w:pPr>
        <w:ind w:firstLine="720"/>
        <w:rPr>
          <w:sz w:val="24"/>
          <w:szCs w:val="24"/>
        </w:rPr>
      </w:pPr>
    </w:p>
    <w:p w14:paraId="749687F6" w14:textId="77777777" w:rsidR="0070589C" w:rsidRDefault="0070589C" w:rsidP="0070589C">
      <w:pPr>
        <w:ind w:firstLine="720"/>
        <w:rPr>
          <w:b/>
          <w:sz w:val="24"/>
          <w:szCs w:val="24"/>
        </w:rPr>
      </w:pPr>
      <w:r>
        <w:rPr>
          <w:b/>
          <w:sz w:val="24"/>
          <w:szCs w:val="24"/>
        </w:rPr>
        <w:t xml:space="preserve">E. Climate Justice in International Law and Policy </w:t>
      </w:r>
    </w:p>
    <w:p w14:paraId="4DEAEA11" w14:textId="77777777" w:rsidR="0070589C" w:rsidRDefault="0070589C" w:rsidP="0070589C">
      <w:pPr>
        <w:rPr>
          <w:sz w:val="24"/>
          <w:szCs w:val="24"/>
        </w:rPr>
      </w:pPr>
    </w:p>
    <w:p w14:paraId="48227833" w14:textId="77777777" w:rsidR="0070589C" w:rsidRDefault="0070589C" w:rsidP="0070589C">
      <w:pPr>
        <w:ind w:right="540" w:firstLine="720"/>
        <w:jc w:val="both"/>
        <w:rPr>
          <w:sz w:val="24"/>
          <w:szCs w:val="24"/>
        </w:rPr>
      </w:pPr>
      <w:r>
        <w:rPr>
          <w:sz w:val="24"/>
          <w:szCs w:val="24"/>
        </w:rPr>
        <w:t xml:space="preserve">This section emphasizes efforts and priorities of international coalitions dedicated to improving climate change. Students should notice the UNFCCC’s overall view regarding equitable mitigation strategies; developed countries responsible for causing high levels of pollution have a heightened duty to spearhead climate change efforts.  </w:t>
      </w:r>
    </w:p>
    <w:p w14:paraId="6D6A1730" w14:textId="77777777" w:rsidR="0070589C" w:rsidRDefault="0070589C" w:rsidP="0070589C">
      <w:pPr>
        <w:ind w:right="810" w:firstLine="720"/>
        <w:jc w:val="both"/>
        <w:rPr>
          <w:sz w:val="24"/>
          <w:szCs w:val="24"/>
        </w:rPr>
      </w:pPr>
    </w:p>
    <w:p w14:paraId="1A088466" w14:textId="77777777" w:rsidR="0070589C" w:rsidRDefault="0070589C" w:rsidP="0070589C">
      <w:pPr>
        <w:ind w:right="540" w:firstLine="720"/>
        <w:jc w:val="both"/>
        <w:rPr>
          <w:sz w:val="24"/>
          <w:szCs w:val="24"/>
        </w:rPr>
      </w:pPr>
      <w:r>
        <w:rPr>
          <w:sz w:val="24"/>
          <w:szCs w:val="24"/>
        </w:rPr>
        <w:t xml:space="preserve">After reading the Paris Agreement, you may ask students to compare various definitions of environmental justice discussed throughout the course with the introduction of the Agreement. Is there language in the Paris Agreement that might enhance the United States’ definition of environmental justice and responses to environmental injustices? </w:t>
      </w:r>
    </w:p>
    <w:p w14:paraId="53CC0F8D" w14:textId="77777777" w:rsidR="0070589C" w:rsidRPr="00621CFC" w:rsidRDefault="0070589C" w:rsidP="0070589C">
      <w:pPr>
        <w:ind w:right="810"/>
        <w:rPr>
          <w:b/>
          <w:bCs/>
          <w:sz w:val="24"/>
          <w:szCs w:val="24"/>
        </w:rPr>
      </w:pPr>
    </w:p>
    <w:p w14:paraId="567D6D89" w14:textId="77777777" w:rsidR="0070589C" w:rsidRPr="00F97A10" w:rsidRDefault="0070589C" w:rsidP="0070589C">
      <w:pPr>
        <w:jc w:val="center"/>
        <w:rPr>
          <w:b/>
          <w:i/>
          <w:sz w:val="28"/>
          <w:szCs w:val="28"/>
        </w:rPr>
      </w:pPr>
      <w:r w:rsidRPr="00F97A10">
        <w:rPr>
          <w:b/>
          <w:i/>
          <w:sz w:val="28"/>
          <w:szCs w:val="28"/>
        </w:rPr>
        <w:t>Notes and Questions</w:t>
      </w:r>
    </w:p>
    <w:p w14:paraId="24E00E64" w14:textId="77777777" w:rsidR="0070589C" w:rsidRDefault="0070589C" w:rsidP="0070589C">
      <w:pPr>
        <w:rPr>
          <w:sz w:val="24"/>
          <w:szCs w:val="24"/>
        </w:rPr>
      </w:pPr>
    </w:p>
    <w:p w14:paraId="4294E234" w14:textId="77777777" w:rsidR="0070589C" w:rsidRDefault="0070589C" w:rsidP="0070589C">
      <w:pPr>
        <w:ind w:right="540" w:firstLine="720"/>
        <w:jc w:val="both"/>
        <w:rPr>
          <w:sz w:val="24"/>
          <w:szCs w:val="24"/>
        </w:rPr>
      </w:pPr>
      <w:r w:rsidRPr="00F97A10">
        <w:rPr>
          <w:b/>
          <w:sz w:val="24"/>
          <w:szCs w:val="24"/>
        </w:rPr>
        <w:lastRenderedPageBreak/>
        <w:t xml:space="preserve">1.  </w:t>
      </w:r>
      <w:r>
        <w:rPr>
          <w:b/>
          <w:sz w:val="24"/>
          <w:szCs w:val="24"/>
        </w:rPr>
        <w:t>Differentiated Responsibilities</w:t>
      </w:r>
      <w:r w:rsidRPr="00F97A10">
        <w:rPr>
          <w:b/>
          <w:sz w:val="24"/>
          <w:szCs w:val="24"/>
        </w:rPr>
        <w:t>.</w:t>
      </w:r>
      <w:r w:rsidRPr="00F97A10">
        <w:rPr>
          <w:sz w:val="24"/>
          <w:szCs w:val="24"/>
        </w:rPr>
        <w:t xml:space="preserve"> </w:t>
      </w:r>
      <w:r>
        <w:rPr>
          <w:sz w:val="24"/>
          <w:szCs w:val="24"/>
        </w:rPr>
        <w:t xml:space="preserve"> This note is self-explanatory and provides students an opportunity to discuss and share opinions about the UNFCCC’s mitigation strategies. </w:t>
      </w:r>
    </w:p>
    <w:p w14:paraId="64B6B07E" w14:textId="77777777" w:rsidR="0070589C" w:rsidRDefault="0070589C" w:rsidP="0070589C">
      <w:pPr>
        <w:ind w:firstLine="720"/>
        <w:jc w:val="both"/>
        <w:rPr>
          <w:sz w:val="24"/>
          <w:szCs w:val="24"/>
        </w:rPr>
      </w:pPr>
    </w:p>
    <w:p w14:paraId="4F9DB62D" w14:textId="77777777" w:rsidR="0070589C" w:rsidRDefault="0070589C" w:rsidP="0070589C">
      <w:pPr>
        <w:ind w:right="540"/>
        <w:jc w:val="both"/>
        <w:rPr>
          <w:sz w:val="24"/>
          <w:szCs w:val="24"/>
        </w:rPr>
      </w:pPr>
      <w:r>
        <w:rPr>
          <w:sz w:val="24"/>
          <w:szCs w:val="24"/>
        </w:rPr>
        <w:tab/>
      </w:r>
      <w:r w:rsidRPr="000725B8">
        <w:rPr>
          <w:b/>
          <w:sz w:val="24"/>
          <w:szCs w:val="24"/>
        </w:rPr>
        <w:t xml:space="preserve">2.  </w:t>
      </w:r>
      <w:r>
        <w:rPr>
          <w:b/>
          <w:sz w:val="24"/>
          <w:szCs w:val="24"/>
        </w:rPr>
        <w:t>Nationally Determined Contributions</w:t>
      </w:r>
      <w:r w:rsidRPr="000725B8">
        <w:rPr>
          <w:b/>
          <w:sz w:val="24"/>
          <w:szCs w:val="24"/>
        </w:rPr>
        <w:t>.</w:t>
      </w:r>
      <w:r>
        <w:rPr>
          <w:sz w:val="24"/>
          <w:szCs w:val="24"/>
        </w:rPr>
        <w:t xml:space="preserve"> Students should have noticed the action items in Article 4, which require all Parties to actively contribute to mitigation efforts by following nationally determined contributions (“NDCs”). Do students think this approach is better than the Kyoto Protocol approach? </w:t>
      </w:r>
    </w:p>
    <w:p w14:paraId="7062C578" w14:textId="77777777" w:rsidR="0070589C" w:rsidRDefault="0070589C" w:rsidP="0070589C">
      <w:pPr>
        <w:jc w:val="both"/>
        <w:rPr>
          <w:sz w:val="24"/>
          <w:szCs w:val="24"/>
        </w:rPr>
      </w:pPr>
    </w:p>
    <w:p w14:paraId="183E86BB" w14:textId="77777777" w:rsidR="0070589C" w:rsidRDefault="0070589C" w:rsidP="0070589C">
      <w:pPr>
        <w:ind w:right="540"/>
        <w:jc w:val="both"/>
        <w:rPr>
          <w:sz w:val="24"/>
          <w:szCs w:val="24"/>
        </w:rPr>
      </w:pPr>
      <w:r>
        <w:rPr>
          <w:sz w:val="24"/>
          <w:szCs w:val="24"/>
        </w:rPr>
        <w:tab/>
        <w:t xml:space="preserve"> </w:t>
      </w:r>
      <w:r>
        <w:rPr>
          <w:b/>
          <w:sz w:val="24"/>
          <w:szCs w:val="24"/>
        </w:rPr>
        <w:t>3</w:t>
      </w:r>
      <w:r w:rsidRPr="006C6410">
        <w:rPr>
          <w:b/>
          <w:sz w:val="24"/>
          <w:szCs w:val="24"/>
        </w:rPr>
        <w:t xml:space="preserve">. </w:t>
      </w:r>
      <w:r>
        <w:rPr>
          <w:b/>
          <w:sz w:val="24"/>
          <w:szCs w:val="24"/>
        </w:rPr>
        <w:t>U.S. NDCs</w:t>
      </w:r>
      <w:r w:rsidRPr="006C6410">
        <w:rPr>
          <w:b/>
          <w:sz w:val="24"/>
          <w:szCs w:val="24"/>
        </w:rPr>
        <w:t>.</w:t>
      </w:r>
      <w:r>
        <w:rPr>
          <w:sz w:val="24"/>
          <w:szCs w:val="24"/>
        </w:rPr>
        <w:t xml:space="preserve">  There is, of course, no “climate police,” but the Paris Agreement does include specific requirements for each country to report annual emissions of greenhouse gases along with efforts to reduce greenhouse gas emissions.  See Paris Agreement, art.13.  Each country report will further be subject to a “technical expert review,” effectively providing some measure of accountability for accurate reporting.  Parties to international agreements such as the Paris Agreement usually strive to comply with requirements in order to maintain credibility and standing in diplomatic areas.  However, given the Trump Administration’s repudiation of the Paris Agreement and the Administration’s unprecedented repudiation of diplomacy altogether, the continued compliance of the United States with its NDCs is certainly in question at this time.  </w:t>
      </w:r>
    </w:p>
    <w:p w14:paraId="31C36A68" w14:textId="77777777" w:rsidR="0070589C" w:rsidRDefault="0070589C" w:rsidP="0070589C">
      <w:pPr>
        <w:jc w:val="both"/>
        <w:rPr>
          <w:sz w:val="24"/>
          <w:szCs w:val="24"/>
        </w:rPr>
      </w:pPr>
    </w:p>
    <w:p w14:paraId="30D5F3A5" w14:textId="77777777" w:rsidR="0070589C" w:rsidRDefault="0070589C" w:rsidP="0070589C">
      <w:pPr>
        <w:ind w:right="540"/>
        <w:jc w:val="both"/>
        <w:rPr>
          <w:sz w:val="24"/>
          <w:szCs w:val="24"/>
        </w:rPr>
      </w:pPr>
      <w:r>
        <w:rPr>
          <w:sz w:val="24"/>
          <w:szCs w:val="24"/>
        </w:rPr>
        <w:tab/>
      </w:r>
      <w:r w:rsidRPr="006C6410">
        <w:rPr>
          <w:b/>
          <w:sz w:val="24"/>
          <w:szCs w:val="24"/>
        </w:rPr>
        <w:t xml:space="preserve">4.  </w:t>
      </w:r>
      <w:r w:rsidRPr="00BE55F1">
        <w:rPr>
          <w:b/>
          <w:i/>
          <w:iCs/>
          <w:sz w:val="24"/>
          <w:szCs w:val="24"/>
        </w:rPr>
        <w:t>1.5</w:t>
      </w:r>
      <w:r w:rsidRPr="00BE55F1">
        <w:rPr>
          <w:rFonts w:ascii="Symbol" w:eastAsia="Symbol" w:hAnsi="Symbol" w:cs="Symbol"/>
          <w:b/>
          <w:i/>
          <w:iCs/>
          <w:sz w:val="24"/>
          <w:szCs w:val="24"/>
        </w:rPr>
        <w:t>°</w:t>
      </w:r>
      <w:r>
        <w:rPr>
          <w:b/>
          <w:i/>
          <w:iCs/>
          <w:sz w:val="24"/>
          <w:szCs w:val="24"/>
        </w:rPr>
        <w:t xml:space="preserve"> </w:t>
      </w:r>
      <w:r w:rsidRPr="00BE55F1">
        <w:rPr>
          <w:b/>
          <w:i/>
          <w:iCs/>
          <w:sz w:val="24"/>
          <w:szCs w:val="24"/>
        </w:rPr>
        <w:t>C</w:t>
      </w:r>
      <w:r>
        <w:rPr>
          <w:b/>
          <w:sz w:val="24"/>
          <w:szCs w:val="24"/>
        </w:rPr>
        <w:t xml:space="preserve"> Special Report.  </w:t>
      </w:r>
      <w:r>
        <w:rPr>
          <w:sz w:val="24"/>
          <w:szCs w:val="24"/>
        </w:rPr>
        <w:t xml:space="preserve">This note is fairly self-explanatory.  For a bit of good news (in an otherwise bleak report), popular media and climate activists seized upon a note in this report that there was still some chance to avert the worst predicted effects of climate change if dramatic reductions in greenhouse gases were achieved immediately.  The full report is available on the IPCC website at the following link:  </w:t>
      </w:r>
      <w:hyperlink r:id="rId70" w:history="1">
        <w:r w:rsidRPr="0031203A">
          <w:rPr>
            <w:rStyle w:val="Hyperlink"/>
            <w:sz w:val="24"/>
            <w:szCs w:val="24"/>
          </w:rPr>
          <w:t>https://www.ipcc.ch/site/assets/uploads/sites/2/2019/05/SR15_SPM_version_report_LR.pdf</w:t>
        </w:r>
      </w:hyperlink>
    </w:p>
    <w:p w14:paraId="1AF0CEF2" w14:textId="77777777" w:rsidR="0070589C" w:rsidRDefault="0070589C" w:rsidP="0070589C">
      <w:pPr>
        <w:ind w:right="540"/>
        <w:jc w:val="both"/>
        <w:rPr>
          <w:sz w:val="24"/>
          <w:szCs w:val="24"/>
        </w:rPr>
      </w:pPr>
    </w:p>
    <w:p w14:paraId="233FD0C3" w14:textId="77777777" w:rsidR="0070589C" w:rsidRDefault="0070589C" w:rsidP="0070589C">
      <w:pPr>
        <w:jc w:val="center"/>
        <w:rPr>
          <w:b/>
          <w:sz w:val="28"/>
          <w:szCs w:val="28"/>
        </w:rPr>
      </w:pPr>
      <w:r>
        <w:rPr>
          <w:b/>
          <w:sz w:val="28"/>
          <w:szCs w:val="28"/>
        </w:rPr>
        <w:t xml:space="preserve">M.R. Allen, </w:t>
      </w:r>
      <w:r w:rsidRPr="00F7728B">
        <w:rPr>
          <w:b/>
          <w:i/>
          <w:sz w:val="28"/>
          <w:szCs w:val="28"/>
        </w:rPr>
        <w:t>et al</w:t>
      </w:r>
      <w:r>
        <w:rPr>
          <w:b/>
          <w:sz w:val="28"/>
          <w:szCs w:val="28"/>
        </w:rPr>
        <w:t>., 2018: Framing and Context.</w:t>
      </w:r>
    </w:p>
    <w:p w14:paraId="6238A12E" w14:textId="77777777" w:rsidR="0070589C" w:rsidRPr="00CB303C" w:rsidRDefault="0070589C" w:rsidP="0070589C">
      <w:pPr>
        <w:jc w:val="center"/>
        <w:rPr>
          <w:b/>
          <w:sz w:val="28"/>
          <w:szCs w:val="28"/>
        </w:rPr>
      </w:pPr>
      <w:r>
        <w:rPr>
          <w:b/>
          <w:sz w:val="28"/>
          <w:szCs w:val="28"/>
        </w:rPr>
        <w:t xml:space="preserve">In: Global Warming </w:t>
      </w:r>
      <w:r w:rsidRPr="003424F2">
        <w:rPr>
          <w:b/>
          <w:sz w:val="28"/>
          <w:szCs w:val="28"/>
        </w:rPr>
        <w:t xml:space="preserve">of </w:t>
      </w:r>
      <w:r w:rsidRPr="003424F2">
        <w:rPr>
          <w:b/>
          <w:i/>
          <w:iCs/>
          <w:sz w:val="28"/>
          <w:szCs w:val="28"/>
        </w:rPr>
        <w:t>1.5</w:t>
      </w:r>
      <w:r w:rsidRPr="003424F2">
        <w:rPr>
          <w:rFonts w:ascii="Symbol" w:eastAsia="Symbol" w:hAnsi="Symbol" w:cs="Symbol"/>
          <w:b/>
          <w:i/>
          <w:iCs/>
          <w:sz w:val="28"/>
          <w:szCs w:val="28"/>
        </w:rPr>
        <w:t>°</w:t>
      </w:r>
      <w:r w:rsidRPr="003424F2">
        <w:rPr>
          <w:b/>
          <w:i/>
          <w:iCs/>
          <w:sz w:val="28"/>
          <w:szCs w:val="28"/>
        </w:rPr>
        <w:t xml:space="preserve"> C.</w:t>
      </w:r>
    </w:p>
    <w:p w14:paraId="318C4178" w14:textId="77777777" w:rsidR="0070589C" w:rsidRDefault="0070589C" w:rsidP="0070589C">
      <w:pPr>
        <w:rPr>
          <w:b/>
          <w:sz w:val="24"/>
          <w:szCs w:val="24"/>
        </w:rPr>
      </w:pPr>
    </w:p>
    <w:p w14:paraId="6CB877AD" w14:textId="77777777" w:rsidR="0070589C" w:rsidRDefault="0070589C" w:rsidP="0070589C">
      <w:pPr>
        <w:ind w:right="540"/>
        <w:jc w:val="both"/>
        <w:rPr>
          <w:bCs/>
          <w:sz w:val="24"/>
          <w:szCs w:val="24"/>
        </w:rPr>
      </w:pPr>
      <w:r>
        <w:rPr>
          <w:b/>
          <w:sz w:val="24"/>
          <w:szCs w:val="24"/>
        </w:rPr>
        <w:tab/>
      </w:r>
      <w:r w:rsidRPr="003424F2">
        <w:rPr>
          <w:bCs/>
          <w:sz w:val="24"/>
          <w:szCs w:val="24"/>
        </w:rPr>
        <w:t xml:space="preserve">Students </w:t>
      </w:r>
      <w:r>
        <w:rPr>
          <w:bCs/>
          <w:sz w:val="24"/>
          <w:szCs w:val="24"/>
        </w:rPr>
        <w:t xml:space="preserve">should take note of Allen’s recognition that the Paris Agreement uses a holistic, intersectional framework to intertwine climate change mitigation efforts with broader poverty eradication and sustainable development efforts. What are some strengths of using intersectional frameworks to mitigate international environmental justice issues? Moreover, students should notice that Allen acknowledges that there is not yet a consensus about what mitigation methods will be most equitable. Do students have ideas about how equitable pathways might encompass the theories of justice discussed in this course? Finally, thinking back to discussions about vulnerability and resilience, it is noteworthy that Allen includes building community resilience and adaptability as an urgent action item. </w:t>
      </w:r>
    </w:p>
    <w:p w14:paraId="7BD414F1" w14:textId="77777777" w:rsidR="0070589C" w:rsidRPr="003424F2" w:rsidRDefault="0070589C" w:rsidP="0070589C">
      <w:pPr>
        <w:ind w:right="810"/>
        <w:jc w:val="both"/>
        <w:rPr>
          <w:bCs/>
          <w:sz w:val="24"/>
          <w:szCs w:val="24"/>
        </w:rPr>
      </w:pPr>
    </w:p>
    <w:p w14:paraId="12344D60" w14:textId="77777777" w:rsidR="0070589C" w:rsidRDefault="0070589C" w:rsidP="0070589C">
      <w:pPr>
        <w:ind w:right="828"/>
        <w:jc w:val="center"/>
        <w:rPr>
          <w:b/>
          <w:sz w:val="28"/>
          <w:szCs w:val="28"/>
        </w:rPr>
      </w:pPr>
      <w:r>
        <w:rPr>
          <w:b/>
          <w:sz w:val="28"/>
          <w:szCs w:val="28"/>
        </w:rPr>
        <w:t>Bali Principle</w:t>
      </w:r>
      <w:r w:rsidRPr="00B94AE0">
        <w:rPr>
          <w:b/>
          <w:sz w:val="28"/>
          <w:szCs w:val="28"/>
        </w:rPr>
        <w:t>s of Climate Justice</w:t>
      </w:r>
      <w:r>
        <w:rPr>
          <w:b/>
          <w:sz w:val="28"/>
          <w:szCs w:val="28"/>
        </w:rPr>
        <w:t xml:space="preserve"> (2002)</w:t>
      </w:r>
    </w:p>
    <w:p w14:paraId="7B891E09" w14:textId="77777777" w:rsidR="0070589C" w:rsidRDefault="0070589C" w:rsidP="0070589C">
      <w:pPr>
        <w:ind w:right="828"/>
        <w:jc w:val="center"/>
        <w:rPr>
          <w:sz w:val="24"/>
          <w:szCs w:val="24"/>
        </w:rPr>
      </w:pPr>
    </w:p>
    <w:p w14:paraId="56522805" w14:textId="77777777" w:rsidR="0070589C" w:rsidRPr="00B94AE0" w:rsidRDefault="0070589C" w:rsidP="0070589C">
      <w:pPr>
        <w:widowControl/>
        <w:autoSpaceDE/>
        <w:autoSpaceDN/>
        <w:adjustRightInd/>
        <w:spacing w:after="160" w:line="259" w:lineRule="auto"/>
        <w:jc w:val="center"/>
        <w:rPr>
          <w:b/>
          <w:i/>
          <w:sz w:val="28"/>
          <w:szCs w:val="28"/>
        </w:rPr>
      </w:pPr>
      <w:r w:rsidRPr="007C33B3">
        <w:rPr>
          <w:b/>
          <w:i/>
          <w:sz w:val="28"/>
          <w:szCs w:val="28"/>
        </w:rPr>
        <w:t>Notes and Questions</w:t>
      </w:r>
    </w:p>
    <w:p w14:paraId="28D61F42" w14:textId="77777777" w:rsidR="0070589C" w:rsidRPr="001E5970" w:rsidRDefault="0070589C" w:rsidP="0070589C">
      <w:pPr>
        <w:ind w:right="540"/>
        <w:jc w:val="both"/>
        <w:rPr>
          <w:bCs/>
          <w:sz w:val="24"/>
          <w:szCs w:val="24"/>
        </w:rPr>
      </w:pPr>
      <w:r>
        <w:rPr>
          <w:b/>
          <w:sz w:val="24"/>
          <w:szCs w:val="24"/>
        </w:rPr>
        <w:tab/>
        <w:t xml:space="preserve">1.  Unjust burdens. </w:t>
      </w:r>
      <w:r w:rsidRPr="001E5970">
        <w:rPr>
          <w:bCs/>
          <w:sz w:val="24"/>
          <w:szCs w:val="24"/>
        </w:rPr>
        <w:t xml:space="preserve">This </w:t>
      </w:r>
      <w:r>
        <w:rPr>
          <w:bCs/>
          <w:sz w:val="24"/>
          <w:szCs w:val="24"/>
        </w:rPr>
        <w:t xml:space="preserve">note allows students to discuss how responsibility should </w:t>
      </w:r>
      <w:r>
        <w:rPr>
          <w:bCs/>
          <w:sz w:val="24"/>
          <w:szCs w:val="24"/>
        </w:rPr>
        <w:lastRenderedPageBreak/>
        <w:t xml:space="preserve">be allocated. Should past contributions and current capability be weighed equally, not equally, or not at all? </w:t>
      </w:r>
    </w:p>
    <w:p w14:paraId="3979FFD8" w14:textId="77777777" w:rsidR="0070589C" w:rsidRDefault="0070589C" w:rsidP="0070589C">
      <w:pPr>
        <w:jc w:val="both"/>
        <w:rPr>
          <w:sz w:val="24"/>
          <w:szCs w:val="24"/>
        </w:rPr>
      </w:pPr>
    </w:p>
    <w:p w14:paraId="1858C548" w14:textId="77777777" w:rsidR="0070589C" w:rsidRDefault="0070589C" w:rsidP="0070589C">
      <w:pPr>
        <w:ind w:right="540"/>
        <w:jc w:val="both"/>
        <w:rPr>
          <w:bCs/>
          <w:sz w:val="24"/>
          <w:szCs w:val="24"/>
        </w:rPr>
      </w:pPr>
      <w:r>
        <w:rPr>
          <w:sz w:val="24"/>
          <w:szCs w:val="24"/>
        </w:rPr>
        <w:tab/>
      </w:r>
      <w:r w:rsidRPr="003554E8">
        <w:rPr>
          <w:b/>
          <w:sz w:val="24"/>
          <w:szCs w:val="24"/>
        </w:rPr>
        <w:t xml:space="preserve">2.  </w:t>
      </w:r>
      <w:r>
        <w:rPr>
          <w:b/>
          <w:sz w:val="24"/>
          <w:szCs w:val="24"/>
        </w:rPr>
        <w:t xml:space="preserve">Wrongdoer identity. </w:t>
      </w:r>
      <w:r w:rsidRPr="001E5970">
        <w:rPr>
          <w:bCs/>
          <w:sz w:val="24"/>
          <w:szCs w:val="24"/>
        </w:rPr>
        <w:t>This note is self-explanatory.</w:t>
      </w:r>
      <w:r>
        <w:rPr>
          <w:b/>
          <w:sz w:val="24"/>
          <w:szCs w:val="24"/>
        </w:rPr>
        <w:t xml:space="preserve"> </w:t>
      </w:r>
      <w:r>
        <w:rPr>
          <w:bCs/>
          <w:sz w:val="24"/>
          <w:szCs w:val="24"/>
        </w:rPr>
        <w:t xml:space="preserve">Students should be given an opportunity to respond to the note’s questions and see whether there is a consensus among the class or whether there are multiple opinions. Conversely, students could be split into two groups (at random) and be asked to debate whether a heavier burden should rest on countries with historically high production of emissions or countries with currently high emission production. </w:t>
      </w:r>
    </w:p>
    <w:p w14:paraId="20951D65" w14:textId="77777777" w:rsidR="0070589C" w:rsidRDefault="0070589C" w:rsidP="0070589C">
      <w:pPr>
        <w:ind w:right="828"/>
        <w:jc w:val="both"/>
        <w:rPr>
          <w:bCs/>
          <w:sz w:val="24"/>
          <w:szCs w:val="24"/>
        </w:rPr>
      </w:pPr>
    </w:p>
    <w:p w14:paraId="1395750D" w14:textId="77777777" w:rsidR="0070589C" w:rsidRDefault="0070589C" w:rsidP="0070589C">
      <w:pPr>
        <w:ind w:right="540" w:firstLine="720"/>
        <w:jc w:val="both"/>
        <w:rPr>
          <w:bCs/>
          <w:sz w:val="24"/>
          <w:szCs w:val="24"/>
        </w:rPr>
      </w:pPr>
      <w:r w:rsidRPr="001E5970">
        <w:rPr>
          <w:b/>
          <w:sz w:val="24"/>
          <w:szCs w:val="24"/>
        </w:rPr>
        <w:t xml:space="preserve">3. </w:t>
      </w:r>
      <w:r>
        <w:rPr>
          <w:b/>
          <w:sz w:val="24"/>
          <w:szCs w:val="24"/>
        </w:rPr>
        <w:t xml:space="preserve">  </w:t>
      </w:r>
      <w:r>
        <w:rPr>
          <w:bCs/>
          <w:sz w:val="24"/>
          <w:szCs w:val="24"/>
        </w:rPr>
        <w:t xml:space="preserve">Do students support the idea of developed nations giving millions of dollars in aid to undeveloped nations in an effort to combat climate change and support populations dealing with immediate effects? Is it logical that climate change mitigation progresses in conjunction with development efforts? These questions simply give students an opportunity to consider the role of developed nations in providing monetary support and development assistance. </w:t>
      </w:r>
    </w:p>
    <w:p w14:paraId="67B82087" w14:textId="77777777" w:rsidR="0070589C" w:rsidRDefault="0070589C" w:rsidP="0070589C">
      <w:pPr>
        <w:ind w:right="828" w:firstLine="720"/>
        <w:jc w:val="both"/>
        <w:rPr>
          <w:bCs/>
          <w:sz w:val="24"/>
          <w:szCs w:val="24"/>
        </w:rPr>
      </w:pPr>
    </w:p>
    <w:p w14:paraId="1DC4CCB6" w14:textId="77777777" w:rsidR="0070589C" w:rsidRDefault="0070589C" w:rsidP="0070589C">
      <w:pPr>
        <w:ind w:right="540" w:firstLine="720"/>
        <w:jc w:val="both"/>
        <w:rPr>
          <w:bCs/>
          <w:sz w:val="24"/>
          <w:szCs w:val="24"/>
        </w:rPr>
      </w:pPr>
      <w:r w:rsidRPr="005005A5">
        <w:rPr>
          <w:b/>
          <w:sz w:val="24"/>
          <w:szCs w:val="24"/>
        </w:rPr>
        <w:t>4.</w:t>
      </w:r>
      <w:r>
        <w:rPr>
          <w:bCs/>
          <w:sz w:val="24"/>
          <w:szCs w:val="24"/>
        </w:rPr>
        <w:t xml:space="preserve">  Do students agree with this assumption and justification? How has the COVID-19 pandemic changed predictions about the future economy? Is it a wise strategy to continue to put climate change efforts on the “back burner?”</w:t>
      </w:r>
    </w:p>
    <w:p w14:paraId="21EE2AA6" w14:textId="77777777" w:rsidR="0070589C" w:rsidRDefault="0070589C" w:rsidP="0070589C">
      <w:pPr>
        <w:ind w:right="828" w:firstLine="720"/>
        <w:jc w:val="both"/>
        <w:rPr>
          <w:bCs/>
          <w:sz w:val="24"/>
          <w:szCs w:val="24"/>
        </w:rPr>
      </w:pPr>
    </w:p>
    <w:p w14:paraId="48E6F58D" w14:textId="77777777" w:rsidR="0070589C" w:rsidRPr="005005A5" w:rsidRDefault="0070589C" w:rsidP="0070589C">
      <w:pPr>
        <w:ind w:right="540" w:firstLine="720"/>
        <w:jc w:val="both"/>
        <w:rPr>
          <w:bCs/>
          <w:sz w:val="24"/>
          <w:szCs w:val="24"/>
        </w:rPr>
      </w:pPr>
      <w:r w:rsidRPr="005005A5">
        <w:rPr>
          <w:b/>
          <w:sz w:val="24"/>
          <w:szCs w:val="24"/>
        </w:rPr>
        <w:t xml:space="preserve">5. Faith-based solutions? </w:t>
      </w:r>
      <w:r>
        <w:rPr>
          <w:b/>
          <w:sz w:val="24"/>
          <w:szCs w:val="24"/>
        </w:rPr>
        <w:t xml:space="preserve"> </w:t>
      </w:r>
      <w:r>
        <w:rPr>
          <w:bCs/>
          <w:sz w:val="24"/>
          <w:szCs w:val="24"/>
        </w:rPr>
        <w:t xml:space="preserve">Faith-based participation remains a strong tradition for the environmental justice movement.  Instructors should ask students whether they recall reading about other faith-based involvement in this text. Recall that Chapter 1 opens with an image of Reverend Benjamin Chavez protesting against PCBs disposal in North Carolina. </w:t>
      </w:r>
    </w:p>
    <w:p w14:paraId="5F66F47E" w14:textId="77777777" w:rsidR="0070589C" w:rsidRDefault="0070589C" w:rsidP="0070589C">
      <w:pPr>
        <w:jc w:val="center"/>
        <w:rPr>
          <w:sz w:val="24"/>
          <w:szCs w:val="24"/>
        </w:rPr>
      </w:pPr>
    </w:p>
    <w:p w14:paraId="0BBE708D" w14:textId="77777777" w:rsidR="0070589C" w:rsidRPr="00967C06" w:rsidRDefault="0070589C" w:rsidP="0070589C">
      <w:pPr>
        <w:ind w:right="828" w:firstLine="720"/>
        <w:rPr>
          <w:b/>
          <w:sz w:val="24"/>
          <w:szCs w:val="24"/>
        </w:rPr>
      </w:pPr>
      <w:r w:rsidRPr="00967C06">
        <w:rPr>
          <w:b/>
          <w:sz w:val="24"/>
          <w:szCs w:val="24"/>
        </w:rPr>
        <w:t xml:space="preserve">F. Climate Law and Policy in the Domestic Context </w:t>
      </w:r>
    </w:p>
    <w:p w14:paraId="23F07E7B" w14:textId="77777777" w:rsidR="0070589C" w:rsidRDefault="0070589C" w:rsidP="0070589C">
      <w:pPr>
        <w:ind w:right="828"/>
        <w:rPr>
          <w:sz w:val="28"/>
          <w:szCs w:val="28"/>
        </w:rPr>
      </w:pPr>
    </w:p>
    <w:p w14:paraId="5C31036F" w14:textId="77777777" w:rsidR="0070589C" w:rsidRDefault="0070589C" w:rsidP="0070589C">
      <w:pPr>
        <w:ind w:right="540"/>
        <w:jc w:val="both"/>
        <w:rPr>
          <w:sz w:val="24"/>
          <w:szCs w:val="24"/>
        </w:rPr>
      </w:pPr>
      <w:r>
        <w:rPr>
          <w:sz w:val="28"/>
          <w:szCs w:val="28"/>
        </w:rPr>
        <w:tab/>
      </w:r>
      <w:r>
        <w:rPr>
          <w:sz w:val="24"/>
          <w:szCs w:val="24"/>
        </w:rPr>
        <w:t xml:space="preserve">As the 2020 presidential election and aftermath loom, after reading this section of the text, students should research and discuss stances candidates (and eventually the elected president) have on GHG regulation and other climate change policy. Can students make predictions about how federal regulations may or may not change in the next four years based on candidate platforms? Do students predict that regulation and policy change will decentralize over the coming years and become more of a state responsibility than a federal responsibility? What are some pros and cons of decentralization? </w:t>
      </w:r>
    </w:p>
    <w:p w14:paraId="5F5D8F7D" w14:textId="77777777" w:rsidR="0070589C" w:rsidRDefault="0070589C" w:rsidP="0070589C">
      <w:pPr>
        <w:jc w:val="both"/>
        <w:rPr>
          <w:sz w:val="24"/>
          <w:szCs w:val="24"/>
        </w:rPr>
      </w:pPr>
    </w:p>
    <w:p w14:paraId="2356AA45" w14:textId="77777777" w:rsidR="0070589C" w:rsidRPr="000706C1" w:rsidRDefault="0070589C" w:rsidP="0070589C">
      <w:pPr>
        <w:jc w:val="center"/>
        <w:rPr>
          <w:b/>
          <w:i/>
          <w:sz w:val="28"/>
          <w:szCs w:val="28"/>
        </w:rPr>
      </w:pPr>
      <w:r w:rsidRPr="000706C1">
        <w:rPr>
          <w:b/>
          <w:i/>
          <w:sz w:val="28"/>
          <w:szCs w:val="28"/>
        </w:rPr>
        <w:t>Notes and Questions</w:t>
      </w:r>
    </w:p>
    <w:p w14:paraId="4ECED635" w14:textId="77777777" w:rsidR="0070589C" w:rsidRDefault="0070589C" w:rsidP="0070589C">
      <w:pPr>
        <w:ind w:firstLine="720"/>
        <w:jc w:val="both"/>
        <w:rPr>
          <w:sz w:val="24"/>
          <w:szCs w:val="24"/>
        </w:rPr>
      </w:pPr>
    </w:p>
    <w:p w14:paraId="6FFC917B" w14:textId="77777777" w:rsidR="0070589C" w:rsidRDefault="0070589C" w:rsidP="0070589C">
      <w:pPr>
        <w:ind w:right="540" w:firstLine="720"/>
        <w:jc w:val="both"/>
        <w:rPr>
          <w:sz w:val="24"/>
          <w:szCs w:val="24"/>
        </w:rPr>
      </w:pPr>
      <w:r w:rsidRPr="000706C1">
        <w:rPr>
          <w:b/>
          <w:sz w:val="24"/>
          <w:szCs w:val="24"/>
        </w:rPr>
        <w:t xml:space="preserve">1.  </w:t>
      </w:r>
      <w:r>
        <w:rPr>
          <w:b/>
          <w:sz w:val="24"/>
          <w:szCs w:val="24"/>
        </w:rPr>
        <w:t>Cap-and-trade, cap-and-tax, or carbon tax</w:t>
      </w:r>
      <w:r w:rsidRPr="000706C1">
        <w:rPr>
          <w:b/>
          <w:sz w:val="24"/>
          <w:szCs w:val="24"/>
        </w:rPr>
        <w:t>?</w:t>
      </w:r>
      <w:r>
        <w:rPr>
          <w:b/>
          <w:sz w:val="24"/>
          <w:szCs w:val="24"/>
        </w:rPr>
        <w:t xml:space="preserve"> </w:t>
      </w:r>
      <w:r>
        <w:rPr>
          <w:sz w:val="24"/>
          <w:szCs w:val="24"/>
        </w:rPr>
        <w:t xml:space="preserve">  The various approaches to climate change mitigation can be extremely complicated, to put it mildly, often requiring sophisticated understandings of economic theory.  For instructors interested yet unfamiliar with this area of regulation, one recommended resource is </w:t>
      </w:r>
      <w:r w:rsidRPr="00F7728B">
        <w:rPr>
          <w:smallCaps/>
          <w:sz w:val="24"/>
          <w:szCs w:val="24"/>
        </w:rPr>
        <w:t>Michael Gerard &amp; John Dernbach, Legal Pathways to Deep Decarbonization</w:t>
      </w:r>
      <w:r>
        <w:rPr>
          <w:sz w:val="24"/>
          <w:szCs w:val="24"/>
        </w:rPr>
        <w:t xml:space="preserve"> (ELI 2019).</w:t>
      </w:r>
    </w:p>
    <w:p w14:paraId="476620E8" w14:textId="77777777" w:rsidR="0070589C" w:rsidRDefault="0070589C" w:rsidP="0070589C">
      <w:pPr>
        <w:jc w:val="both"/>
        <w:rPr>
          <w:sz w:val="24"/>
          <w:szCs w:val="24"/>
        </w:rPr>
      </w:pPr>
    </w:p>
    <w:p w14:paraId="34093C9F" w14:textId="77777777" w:rsidR="0070589C" w:rsidRDefault="0070589C" w:rsidP="0070589C">
      <w:pPr>
        <w:ind w:right="540"/>
        <w:jc w:val="both"/>
        <w:rPr>
          <w:sz w:val="24"/>
          <w:szCs w:val="24"/>
        </w:rPr>
      </w:pPr>
      <w:r>
        <w:rPr>
          <w:sz w:val="24"/>
          <w:szCs w:val="24"/>
        </w:rPr>
        <w:tab/>
      </w:r>
      <w:r w:rsidRPr="00D92EC9">
        <w:rPr>
          <w:b/>
          <w:sz w:val="24"/>
          <w:szCs w:val="24"/>
        </w:rPr>
        <w:t xml:space="preserve">2.  </w:t>
      </w:r>
      <w:r>
        <w:rPr>
          <w:b/>
          <w:sz w:val="24"/>
          <w:szCs w:val="24"/>
        </w:rPr>
        <w:t xml:space="preserve">The golden inhaler. </w:t>
      </w:r>
      <w:r>
        <w:rPr>
          <w:sz w:val="24"/>
          <w:szCs w:val="24"/>
        </w:rPr>
        <w:t xml:space="preserve"> The California approach to regulating greenhouse gasses represents one classic example of action toward “corrective justice.” As discussed in Chapter </w:t>
      </w:r>
      <w:r>
        <w:rPr>
          <w:sz w:val="24"/>
          <w:szCs w:val="24"/>
        </w:rPr>
        <w:lastRenderedPageBreak/>
        <w:t xml:space="preserve">1, corrective justice may include dimensions such as “compensatory justice” for disadvantaged communities who may experience the worst effects of both climate change and the toxic air pollutants associated with major air polluting facilities.  </w:t>
      </w:r>
    </w:p>
    <w:p w14:paraId="61677F85" w14:textId="77777777" w:rsidR="0070589C" w:rsidRDefault="0070589C" w:rsidP="0070589C">
      <w:pPr>
        <w:ind w:right="828"/>
        <w:jc w:val="both"/>
        <w:rPr>
          <w:sz w:val="24"/>
          <w:szCs w:val="24"/>
        </w:rPr>
      </w:pPr>
    </w:p>
    <w:p w14:paraId="5A93F066" w14:textId="77777777" w:rsidR="0070589C" w:rsidRPr="008A538D" w:rsidRDefault="0070589C" w:rsidP="0070589C">
      <w:pPr>
        <w:ind w:right="828"/>
        <w:jc w:val="center"/>
        <w:rPr>
          <w:b/>
          <w:bCs/>
          <w:i/>
          <w:iCs/>
          <w:sz w:val="28"/>
          <w:szCs w:val="28"/>
        </w:rPr>
      </w:pPr>
      <w:r w:rsidRPr="008A538D">
        <w:rPr>
          <w:b/>
          <w:bCs/>
          <w:sz w:val="28"/>
          <w:szCs w:val="28"/>
        </w:rPr>
        <w:t xml:space="preserve">Rebecca Bratspies, </w:t>
      </w:r>
      <w:r w:rsidRPr="008A538D">
        <w:rPr>
          <w:b/>
          <w:bCs/>
          <w:i/>
          <w:iCs/>
          <w:sz w:val="28"/>
          <w:szCs w:val="28"/>
        </w:rPr>
        <w:t xml:space="preserve">Our Climate Movement is Now! </w:t>
      </w:r>
    </w:p>
    <w:p w14:paraId="787A6626" w14:textId="77777777" w:rsidR="0070589C" w:rsidRPr="009358B1" w:rsidRDefault="0070589C" w:rsidP="0070589C">
      <w:pPr>
        <w:ind w:right="828"/>
        <w:jc w:val="center"/>
        <w:rPr>
          <w:b/>
          <w:bCs/>
          <w:iCs/>
          <w:sz w:val="28"/>
          <w:szCs w:val="28"/>
        </w:rPr>
      </w:pPr>
      <w:r w:rsidRPr="008A538D">
        <w:rPr>
          <w:b/>
          <w:bCs/>
          <w:i/>
          <w:iCs/>
          <w:sz w:val="28"/>
          <w:szCs w:val="28"/>
        </w:rPr>
        <w:t>(Or How to Change the Story to Save Our World)</w:t>
      </w:r>
      <w:r>
        <w:rPr>
          <w:b/>
          <w:bCs/>
          <w:i/>
          <w:iCs/>
          <w:sz w:val="28"/>
          <w:szCs w:val="28"/>
        </w:rPr>
        <w:t xml:space="preserve"> </w:t>
      </w:r>
      <w:r>
        <w:rPr>
          <w:b/>
          <w:bCs/>
          <w:iCs/>
          <w:sz w:val="28"/>
          <w:szCs w:val="28"/>
        </w:rPr>
        <w:t>(2010)</w:t>
      </w:r>
    </w:p>
    <w:p w14:paraId="0AADABA1" w14:textId="77777777" w:rsidR="0070589C" w:rsidRDefault="0070589C" w:rsidP="0070589C">
      <w:pPr>
        <w:rPr>
          <w:sz w:val="24"/>
          <w:szCs w:val="24"/>
        </w:rPr>
      </w:pPr>
    </w:p>
    <w:p w14:paraId="439E01A6" w14:textId="77777777" w:rsidR="0070589C" w:rsidRDefault="0070589C" w:rsidP="0070589C">
      <w:pPr>
        <w:ind w:right="540" w:firstLine="720"/>
        <w:jc w:val="both"/>
        <w:rPr>
          <w:bCs/>
          <w:sz w:val="24"/>
          <w:szCs w:val="24"/>
        </w:rPr>
      </w:pPr>
      <w:r>
        <w:rPr>
          <w:sz w:val="24"/>
          <w:szCs w:val="24"/>
        </w:rPr>
        <w:t xml:space="preserve">In her article, Professor Bratspies argues that the Trump administration’s denial of climate change is “on the wrong side of history” (Text, p. 511). Thinking back to the </w:t>
      </w:r>
      <w:r w:rsidRPr="009B63ED">
        <w:rPr>
          <w:bCs/>
          <w:i/>
          <w:iCs/>
          <w:sz w:val="24"/>
          <w:szCs w:val="24"/>
        </w:rPr>
        <w:t>1.5</w:t>
      </w:r>
      <w:r w:rsidRPr="009B63ED">
        <w:rPr>
          <w:rFonts w:ascii="Symbol" w:eastAsia="Symbol" w:hAnsi="Symbol" w:cs="Symbol"/>
          <w:bCs/>
          <w:i/>
          <w:iCs/>
          <w:sz w:val="24"/>
          <w:szCs w:val="24"/>
        </w:rPr>
        <w:t>°</w:t>
      </w:r>
      <w:r w:rsidRPr="009B63ED">
        <w:rPr>
          <w:bCs/>
          <w:i/>
          <w:iCs/>
          <w:sz w:val="24"/>
          <w:szCs w:val="24"/>
        </w:rPr>
        <w:t xml:space="preserve"> C</w:t>
      </w:r>
      <w:r w:rsidRPr="009B63ED">
        <w:rPr>
          <w:bCs/>
          <w:sz w:val="24"/>
          <w:szCs w:val="24"/>
        </w:rPr>
        <w:t xml:space="preserve"> Special Report</w:t>
      </w:r>
      <w:r>
        <w:rPr>
          <w:bCs/>
          <w:sz w:val="24"/>
          <w:szCs w:val="24"/>
        </w:rPr>
        <w:t xml:space="preserve">, what are some specific ways the Trump administration’s actions have slowed necessary progress? </w:t>
      </w:r>
    </w:p>
    <w:p w14:paraId="1FB2260F" w14:textId="77777777" w:rsidR="0070589C" w:rsidRDefault="0070589C" w:rsidP="0070589C">
      <w:pPr>
        <w:ind w:right="810" w:firstLine="720"/>
        <w:jc w:val="both"/>
        <w:rPr>
          <w:bCs/>
          <w:sz w:val="24"/>
          <w:szCs w:val="24"/>
        </w:rPr>
      </w:pPr>
    </w:p>
    <w:p w14:paraId="106ABE61" w14:textId="77777777" w:rsidR="0070589C" w:rsidRDefault="0070589C" w:rsidP="0070589C">
      <w:pPr>
        <w:ind w:right="540" w:firstLine="720"/>
        <w:jc w:val="both"/>
        <w:rPr>
          <w:bCs/>
          <w:sz w:val="24"/>
          <w:szCs w:val="24"/>
        </w:rPr>
      </w:pPr>
      <w:r>
        <w:rPr>
          <w:bCs/>
          <w:sz w:val="24"/>
          <w:szCs w:val="24"/>
        </w:rPr>
        <w:t xml:space="preserve">After reading examples of programs aimed at reducing cities’ carbon footprints, can students come up with examples of programs that may work in their communities? Finally, how successful do students think that smaller cities with fewer resources and a smaller operating budget than large California cities and New York City will be at developing programs aiming to decrease their carbon footprint? </w:t>
      </w:r>
    </w:p>
    <w:p w14:paraId="6A165A2A" w14:textId="77777777" w:rsidR="0070589C" w:rsidRDefault="0070589C" w:rsidP="0070589C">
      <w:pPr>
        <w:ind w:right="810" w:firstLine="720"/>
        <w:jc w:val="both"/>
        <w:rPr>
          <w:bCs/>
          <w:sz w:val="24"/>
          <w:szCs w:val="24"/>
        </w:rPr>
      </w:pPr>
    </w:p>
    <w:p w14:paraId="768DEFAC" w14:textId="77777777" w:rsidR="0070589C" w:rsidRDefault="0070589C" w:rsidP="0070589C">
      <w:pPr>
        <w:ind w:right="810" w:firstLine="720"/>
        <w:jc w:val="center"/>
        <w:rPr>
          <w:b/>
          <w:i/>
          <w:iCs/>
          <w:sz w:val="28"/>
          <w:szCs w:val="28"/>
        </w:rPr>
      </w:pPr>
      <w:r w:rsidRPr="006A519C">
        <w:rPr>
          <w:b/>
          <w:i/>
          <w:iCs/>
          <w:sz w:val="28"/>
          <w:szCs w:val="28"/>
        </w:rPr>
        <w:t>Notes and Questions</w:t>
      </w:r>
    </w:p>
    <w:p w14:paraId="3E308156" w14:textId="77777777" w:rsidR="0070589C" w:rsidRPr="006A519C" w:rsidRDefault="0070589C" w:rsidP="0070589C">
      <w:pPr>
        <w:ind w:right="810" w:firstLine="720"/>
        <w:jc w:val="center"/>
        <w:rPr>
          <w:bCs/>
          <w:sz w:val="28"/>
          <w:szCs w:val="28"/>
        </w:rPr>
      </w:pPr>
    </w:p>
    <w:p w14:paraId="65DE90CA" w14:textId="77777777" w:rsidR="0070589C" w:rsidRPr="006A519C" w:rsidRDefault="0070589C" w:rsidP="0070589C">
      <w:pPr>
        <w:ind w:right="540" w:firstLine="720"/>
        <w:jc w:val="both"/>
        <w:rPr>
          <w:sz w:val="24"/>
          <w:szCs w:val="24"/>
        </w:rPr>
      </w:pPr>
      <w:r w:rsidRPr="000706C1">
        <w:rPr>
          <w:b/>
          <w:sz w:val="24"/>
          <w:szCs w:val="24"/>
        </w:rPr>
        <w:t xml:space="preserve">1. </w:t>
      </w:r>
      <w:r>
        <w:rPr>
          <w:b/>
          <w:sz w:val="24"/>
          <w:szCs w:val="24"/>
        </w:rPr>
        <w:t>“We’re still in</w:t>
      </w:r>
      <w:r w:rsidRPr="000706C1">
        <w:rPr>
          <w:b/>
          <w:sz w:val="24"/>
          <w:szCs w:val="24"/>
        </w:rPr>
        <w:t>?</w:t>
      </w:r>
      <w:r>
        <w:rPr>
          <w:b/>
          <w:sz w:val="24"/>
          <w:szCs w:val="24"/>
        </w:rPr>
        <w:t xml:space="preserve">” </w:t>
      </w:r>
      <w:r>
        <w:rPr>
          <w:sz w:val="24"/>
          <w:szCs w:val="24"/>
        </w:rPr>
        <w:t xml:space="preserve"> Under the terms of the Paris Agreement, it is possible that the Trump Administration may complete the withdrawal of the United States from the Paris Agreement the very week of the presidential election in November 2020.  However, achieving the NDCs established by the United States under the Paris Agreement remains possible, depending significantly on whether the Trump Administration succeeds in repealing regulations intended to reduce carbon emissions, including fuel efficiency standards and regulations for fossil-fuel fired power plants.</w:t>
      </w:r>
    </w:p>
    <w:p w14:paraId="26657957" w14:textId="77777777" w:rsidR="0070589C" w:rsidRDefault="0070589C" w:rsidP="0070589C">
      <w:pPr>
        <w:rPr>
          <w:sz w:val="24"/>
          <w:szCs w:val="24"/>
        </w:rPr>
      </w:pPr>
    </w:p>
    <w:p w14:paraId="1DECBDEC" w14:textId="77777777" w:rsidR="0070589C" w:rsidRPr="006A519C" w:rsidRDefault="0070589C" w:rsidP="0070589C">
      <w:pPr>
        <w:ind w:firstLine="720"/>
        <w:rPr>
          <w:b/>
          <w:sz w:val="24"/>
          <w:szCs w:val="24"/>
        </w:rPr>
      </w:pPr>
      <w:r w:rsidRPr="006A519C">
        <w:rPr>
          <w:b/>
          <w:sz w:val="24"/>
          <w:szCs w:val="24"/>
        </w:rPr>
        <w:t>G. Climate Adaptation</w:t>
      </w:r>
    </w:p>
    <w:p w14:paraId="1E3ECCDF" w14:textId="77777777" w:rsidR="0070589C" w:rsidRDefault="0070589C" w:rsidP="0070589C">
      <w:pPr>
        <w:rPr>
          <w:sz w:val="24"/>
          <w:szCs w:val="24"/>
        </w:rPr>
      </w:pPr>
    </w:p>
    <w:p w14:paraId="6A463B16" w14:textId="77777777" w:rsidR="0070589C" w:rsidRDefault="0070589C" w:rsidP="0070589C">
      <w:pPr>
        <w:ind w:right="540"/>
        <w:jc w:val="both"/>
        <w:rPr>
          <w:sz w:val="24"/>
          <w:szCs w:val="24"/>
        </w:rPr>
      </w:pPr>
      <w:r>
        <w:rPr>
          <w:sz w:val="24"/>
          <w:szCs w:val="24"/>
        </w:rPr>
        <w:tab/>
        <w:t xml:space="preserve">This final section of Chapter 14 introduces the concept of climate adaptation and contemplates how this can be done in an equitable and just way. Over the next decades, there will be drastic development of climate adaptation law and policy as the concept is so new and dynamic. The excerpts that follow give students a taste of what climate adaptation research currently looks like. </w:t>
      </w:r>
    </w:p>
    <w:p w14:paraId="23559E0D" w14:textId="77777777" w:rsidR="0070589C" w:rsidRDefault="0070589C" w:rsidP="0070589C">
      <w:pPr>
        <w:ind w:right="828"/>
        <w:jc w:val="both"/>
        <w:rPr>
          <w:sz w:val="24"/>
          <w:szCs w:val="24"/>
        </w:rPr>
      </w:pPr>
    </w:p>
    <w:p w14:paraId="269D1125" w14:textId="77777777" w:rsidR="0070589C" w:rsidRPr="004A52F6" w:rsidRDefault="0070589C" w:rsidP="0070589C">
      <w:pPr>
        <w:ind w:right="828"/>
        <w:jc w:val="center"/>
        <w:rPr>
          <w:b/>
          <w:bCs/>
          <w:i/>
          <w:iCs/>
          <w:sz w:val="28"/>
          <w:szCs w:val="28"/>
        </w:rPr>
      </w:pPr>
      <w:r w:rsidRPr="004A52F6">
        <w:rPr>
          <w:b/>
          <w:bCs/>
          <w:sz w:val="28"/>
          <w:szCs w:val="28"/>
        </w:rPr>
        <w:t xml:space="preserve">Daniel A. Farber, </w:t>
      </w:r>
      <w:r w:rsidRPr="004A52F6">
        <w:rPr>
          <w:b/>
          <w:bCs/>
          <w:i/>
          <w:iCs/>
          <w:sz w:val="28"/>
          <w:szCs w:val="28"/>
        </w:rPr>
        <w:t xml:space="preserve">Climate Adaptation and Federalism: </w:t>
      </w:r>
    </w:p>
    <w:p w14:paraId="72A789A9" w14:textId="77777777" w:rsidR="0070589C" w:rsidRPr="009358B1" w:rsidRDefault="0070589C" w:rsidP="0070589C">
      <w:pPr>
        <w:ind w:right="828"/>
        <w:jc w:val="center"/>
        <w:rPr>
          <w:b/>
          <w:bCs/>
          <w:iCs/>
          <w:sz w:val="28"/>
          <w:szCs w:val="28"/>
        </w:rPr>
      </w:pPr>
      <w:r w:rsidRPr="004A52F6">
        <w:rPr>
          <w:b/>
          <w:bCs/>
          <w:i/>
          <w:iCs/>
          <w:sz w:val="28"/>
          <w:szCs w:val="28"/>
        </w:rPr>
        <w:t>Mapping the Issues</w:t>
      </w:r>
      <w:r>
        <w:rPr>
          <w:b/>
          <w:bCs/>
          <w:iCs/>
          <w:sz w:val="28"/>
          <w:szCs w:val="28"/>
        </w:rPr>
        <w:t xml:space="preserve"> (2009)</w:t>
      </w:r>
    </w:p>
    <w:p w14:paraId="205914B4" w14:textId="77777777" w:rsidR="0070589C" w:rsidRDefault="0070589C" w:rsidP="0070589C">
      <w:pPr>
        <w:ind w:right="828"/>
        <w:jc w:val="center"/>
        <w:rPr>
          <w:b/>
          <w:bCs/>
          <w:i/>
          <w:iCs/>
          <w:sz w:val="28"/>
          <w:szCs w:val="28"/>
        </w:rPr>
      </w:pPr>
    </w:p>
    <w:p w14:paraId="147BFE0F" w14:textId="77777777" w:rsidR="0070589C" w:rsidRDefault="0070589C" w:rsidP="0070589C">
      <w:pPr>
        <w:ind w:right="540"/>
        <w:jc w:val="both"/>
        <w:rPr>
          <w:sz w:val="24"/>
          <w:szCs w:val="24"/>
        </w:rPr>
      </w:pPr>
      <w:r>
        <w:rPr>
          <w:sz w:val="24"/>
          <w:szCs w:val="24"/>
        </w:rPr>
        <w:tab/>
        <w:t xml:space="preserve">Professor Farber recognizes that the cost of adapting to changing climates will be substantial, especially because it is difficult for states to be prepared for extreme events ahead of time. However, by establishing connections between public health issues and climate change, Professor Farber urges governments to begin accounting for the future infrastructure costs that may be necessary to protect life. </w:t>
      </w:r>
    </w:p>
    <w:p w14:paraId="73CE2F8E" w14:textId="77777777" w:rsidR="0070589C" w:rsidRDefault="0070589C" w:rsidP="0070589C">
      <w:pPr>
        <w:ind w:right="828"/>
        <w:jc w:val="both"/>
        <w:rPr>
          <w:sz w:val="24"/>
          <w:szCs w:val="24"/>
        </w:rPr>
      </w:pPr>
    </w:p>
    <w:p w14:paraId="48035DEF" w14:textId="77777777" w:rsidR="0070589C" w:rsidRDefault="0070589C" w:rsidP="0070589C">
      <w:pPr>
        <w:ind w:right="540"/>
        <w:jc w:val="both"/>
        <w:rPr>
          <w:sz w:val="24"/>
          <w:szCs w:val="24"/>
        </w:rPr>
      </w:pPr>
      <w:r>
        <w:rPr>
          <w:sz w:val="24"/>
          <w:szCs w:val="24"/>
        </w:rPr>
        <w:lastRenderedPageBreak/>
        <w:tab/>
        <w:t xml:space="preserve">Students should notice Professor Farber’s list of multiple adaptation strategies, ranging from band-aid fixes to systemic change. Which responses do students think are most realistic for the U.S.? Which responses do students think would be most effective? Current and future generations of students will be among those who implement these responses and discover which are most effective, as little research currently exists regarding the effectiveness of proposed responses.  </w:t>
      </w:r>
    </w:p>
    <w:p w14:paraId="443783B3" w14:textId="77777777" w:rsidR="0070589C" w:rsidRDefault="0070589C" w:rsidP="0070589C">
      <w:pPr>
        <w:ind w:right="828"/>
        <w:jc w:val="both"/>
        <w:rPr>
          <w:sz w:val="24"/>
          <w:szCs w:val="24"/>
        </w:rPr>
      </w:pPr>
    </w:p>
    <w:p w14:paraId="20C436C2" w14:textId="77777777" w:rsidR="0070589C" w:rsidRDefault="0070589C" w:rsidP="0070589C">
      <w:pPr>
        <w:ind w:right="540"/>
        <w:jc w:val="both"/>
        <w:rPr>
          <w:sz w:val="24"/>
          <w:szCs w:val="24"/>
        </w:rPr>
      </w:pPr>
      <w:r>
        <w:rPr>
          <w:sz w:val="24"/>
          <w:szCs w:val="24"/>
        </w:rPr>
        <w:tab/>
        <w:t xml:space="preserve">Finally, Professor Farber’s article provides students the opportunity to respond to the question: Who should take the lead on climate adaptation efforts? Should it be the federal government, state government, local and tribal governments, or a mix? Because a decade has passed since the publication of this article, students should use the resources outlined in the text (p. 516) to research what efforts have begun, and at what level of government. </w:t>
      </w:r>
    </w:p>
    <w:p w14:paraId="227563F4" w14:textId="77777777" w:rsidR="0070589C" w:rsidRDefault="0070589C" w:rsidP="0070589C">
      <w:pPr>
        <w:ind w:right="828"/>
        <w:jc w:val="both"/>
        <w:rPr>
          <w:sz w:val="24"/>
          <w:szCs w:val="24"/>
        </w:rPr>
      </w:pPr>
    </w:p>
    <w:p w14:paraId="0C885951" w14:textId="77777777" w:rsidR="0070589C" w:rsidRPr="001F4E4B" w:rsidRDefault="0070589C" w:rsidP="0070589C">
      <w:pPr>
        <w:ind w:right="828"/>
        <w:jc w:val="center"/>
        <w:rPr>
          <w:b/>
          <w:bCs/>
          <w:sz w:val="28"/>
          <w:szCs w:val="28"/>
        </w:rPr>
      </w:pPr>
      <w:r w:rsidRPr="001F4E4B">
        <w:rPr>
          <w:b/>
          <w:bCs/>
          <w:sz w:val="28"/>
          <w:szCs w:val="28"/>
        </w:rPr>
        <w:t xml:space="preserve">Georgetown Climate Center, </w:t>
      </w:r>
    </w:p>
    <w:p w14:paraId="65D72B73" w14:textId="77777777" w:rsidR="0070589C" w:rsidRPr="001F4E4B" w:rsidRDefault="0070589C" w:rsidP="0070589C">
      <w:pPr>
        <w:ind w:right="828"/>
        <w:jc w:val="center"/>
        <w:rPr>
          <w:b/>
          <w:bCs/>
          <w:sz w:val="28"/>
          <w:szCs w:val="28"/>
        </w:rPr>
      </w:pPr>
      <w:r w:rsidRPr="001F4E4B">
        <w:rPr>
          <w:b/>
          <w:bCs/>
          <w:sz w:val="28"/>
          <w:szCs w:val="28"/>
        </w:rPr>
        <w:t>Opportunities for Equitable Adaptation in Cities</w:t>
      </w:r>
      <w:r>
        <w:rPr>
          <w:b/>
          <w:bCs/>
          <w:sz w:val="28"/>
          <w:szCs w:val="28"/>
        </w:rPr>
        <w:t xml:space="preserve"> (2017)</w:t>
      </w:r>
    </w:p>
    <w:p w14:paraId="0AAACF5F" w14:textId="77777777" w:rsidR="0070589C" w:rsidRDefault="0070589C" w:rsidP="0070589C">
      <w:pPr>
        <w:ind w:right="828"/>
        <w:jc w:val="both"/>
        <w:rPr>
          <w:sz w:val="24"/>
          <w:szCs w:val="24"/>
        </w:rPr>
      </w:pPr>
    </w:p>
    <w:p w14:paraId="55E214E6" w14:textId="77777777" w:rsidR="0070589C" w:rsidRPr="006E5F63" w:rsidRDefault="0070589C" w:rsidP="0070589C">
      <w:pPr>
        <w:jc w:val="center"/>
        <w:rPr>
          <w:b/>
          <w:i/>
          <w:sz w:val="28"/>
          <w:szCs w:val="28"/>
        </w:rPr>
      </w:pPr>
      <w:r w:rsidRPr="006E5F63">
        <w:rPr>
          <w:b/>
          <w:i/>
          <w:sz w:val="28"/>
          <w:szCs w:val="28"/>
        </w:rPr>
        <w:t>Notes and Questions</w:t>
      </w:r>
    </w:p>
    <w:p w14:paraId="5D48ADE5" w14:textId="77777777" w:rsidR="0070589C" w:rsidRDefault="0070589C" w:rsidP="0070589C">
      <w:pPr>
        <w:jc w:val="both"/>
        <w:rPr>
          <w:sz w:val="24"/>
          <w:szCs w:val="24"/>
        </w:rPr>
      </w:pPr>
    </w:p>
    <w:p w14:paraId="48440B13" w14:textId="77777777" w:rsidR="0070589C" w:rsidRDefault="0070589C" w:rsidP="0070589C">
      <w:pPr>
        <w:ind w:right="540" w:firstLine="720"/>
        <w:jc w:val="both"/>
        <w:rPr>
          <w:sz w:val="24"/>
          <w:szCs w:val="24"/>
        </w:rPr>
      </w:pPr>
      <w:r w:rsidRPr="006E5F63">
        <w:rPr>
          <w:b/>
          <w:sz w:val="24"/>
          <w:szCs w:val="24"/>
        </w:rPr>
        <w:t xml:space="preserve">1.  </w:t>
      </w:r>
      <w:r>
        <w:rPr>
          <w:b/>
          <w:sz w:val="24"/>
          <w:szCs w:val="24"/>
        </w:rPr>
        <w:t>“Adaptation” defined</w:t>
      </w:r>
      <w:r w:rsidRPr="006E5F63">
        <w:rPr>
          <w:b/>
          <w:sz w:val="24"/>
          <w:szCs w:val="24"/>
        </w:rPr>
        <w:t>.</w:t>
      </w:r>
      <w:r>
        <w:rPr>
          <w:sz w:val="24"/>
          <w:szCs w:val="24"/>
        </w:rPr>
        <w:t xml:space="preserve">  To answer the questions posed in this note, students should think about to the YouTube clips they watched about island nations’ responses to climate change. An example answer may be that relocation could be considered both an anticipatory adaptation, because communities may choose to relocate before the worst of climate change effects are experienced, and autonomous adaptation, because communities may be forced to evacuate as a consequence of typhoons and other extreme weather events. </w:t>
      </w:r>
    </w:p>
    <w:p w14:paraId="7569AC6B" w14:textId="77777777" w:rsidR="0070589C" w:rsidRDefault="0070589C" w:rsidP="0070589C">
      <w:pPr>
        <w:ind w:firstLine="720"/>
        <w:rPr>
          <w:sz w:val="24"/>
          <w:szCs w:val="24"/>
        </w:rPr>
      </w:pPr>
    </w:p>
    <w:p w14:paraId="720880E0" w14:textId="77777777" w:rsidR="0070589C" w:rsidRDefault="0070589C" w:rsidP="0070589C">
      <w:pPr>
        <w:ind w:right="540" w:firstLine="720"/>
        <w:jc w:val="both"/>
        <w:rPr>
          <w:sz w:val="24"/>
          <w:szCs w:val="24"/>
        </w:rPr>
      </w:pPr>
      <w:r w:rsidRPr="00C37E7E">
        <w:rPr>
          <w:b/>
          <w:sz w:val="24"/>
          <w:szCs w:val="24"/>
        </w:rPr>
        <w:t xml:space="preserve">2.  </w:t>
      </w:r>
      <w:r>
        <w:rPr>
          <w:b/>
          <w:sz w:val="24"/>
          <w:szCs w:val="24"/>
        </w:rPr>
        <w:t>Adaptation is the solution</w:t>
      </w:r>
      <w:r w:rsidRPr="00C37E7E">
        <w:rPr>
          <w:b/>
          <w:sz w:val="24"/>
          <w:szCs w:val="24"/>
        </w:rPr>
        <w:t>?</w:t>
      </w:r>
      <w:r>
        <w:rPr>
          <w:sz w:val="24"/>
          <w:szCs w:val="24"/>
        </w:rPr>
        <w:t xml:space="preserve"> Essentially, this note explains that adaptation alone is not a solution. In order to change the course of climate change, mitigation </w:t>
      </w:r>
      <w:r w:rsidRPr="008A769A">
        <w:rPr>
          <w:i/>
          <w:iCs/>
          <w:sz w:val="24"/>
          <w:szCs w:val="24"/>
        </w:rPr>
        <w:t>and</w:t>
      </w:r>
      <w:r>
        <w:rPr>
          <w:sz w:val="24"/>
          <w:szCs w:val="24"/>
        </w:rPr>
        <w:t xml:space="preserve"> adaptation methods are crucial. In answering the question at the end of the note, students should think about costs of living, availability of jobs, willingness to leave a community where family has lived for generations, and impacts on tribal communities and reservations.  </w:t>
      </w:r>
    </w:p>
    <w:p w14:paraId="4B4502E4" w14:textId="77777777" w:rsidR="0070589C" w:rsidRDefault="0070589C" w:rsidP="0070589C">
      <w:pPr>
        <w:jc w:val="both"/>
        <w:rPr>
          <w:sz w:val="24"/>
          <w:szCs w:val="24"/>
        </w:rPr>
      </w:pPr>
    </w:p>
    <w:p w14:paraId="318CC5DD" w14:textId="77777777" w:rsidR="0070589C" w:rsidRDefault="0070589C" w:rsidP="0070589C">
      <w:pPr>
        <w:ind w:right="540"/>
        <w:jc w:val="both"/>
        <w:rPr>
          <w:bCs/>
          <w:sz w:val="24"/>
          <w:szCs w:val="24"/>
        </w:rPr>
      </w:pPr>
      <w:r>
        <w:rPr>
          <w:sz w:val="24"/>
          <w:szCs w:val="24"/>
        </w:rPr>
        <w:tab/>
      </w:r>
      <w:r w:rsidRPr="00B47633">
        <w:rPr>
          <w:b/>
          <w:sz w:val="24"/>
          <w:szCs w:val="24"/>
        </w:rPr>
        <w:t xml:space="preserve">3.  </w:t>
      </w:r>
      <w:r w:rsidRPr="00F22654">
        <w:rPr>
          <w:b/>
          <w:iCs/>
          <w:sz w:val="24"/>
          <w:szCs w:val="24"/>
        </w:rPr>
        <w:t>Adaptation resources</w:t>
      </w:r>
      <w:r w:rsidRPr="00B47633">
        <w:rPr>
          <w:b/>
          <w:sz w:val="24"/>
          <w:szCs w:val="24"/>
        </w:rPr>
        <w:t xml:space="preserve">. </w:t>
      </w:r>
      <w:r>
        <w:rPr>
          <w:b/>
          <w:sz w:val="24"/>
          <w:szCs w:val="24"/>
        </w:rPr>
        <w:t xml:space="preserve"> </w:t>
      </w:r>
      <w:r>
        <w:rPr>
          <w:bCs/>
          <w:sz w:val="24"/>
          <w:szCs w:val="24"/>
        </w:rPr>
        <w:t>Instructors and students will likely find the best collection of resources for climate change mitigation and adaptation on the website of the Georgetown Climate Center.  Vicki Arroyo, the Executive Director of the Georgetown Climate Center, has a powerful TED Talk (10:30 min.) (2012) that may serve well as either an entry point to a discussion on climate adaptation or a final word of hope as students attempt to grasp this complicated and potentially frightening future.</w:t>
      </w:r>
    </w:p>
    <w:p w14:paraId="008F6B62" w14:textId="77777777" w:rsidR="0070589C" w:rsidRDefault="0070589C" w:rsidP="0070589C">
      <w:pPr>
        <w:widowControl/>
        <w:autoSpaceDE/>
        <w:autoSpaceDN/>
        <w:adjustRightInd/>
        <w:spacing w:after="160" w:line="259" w:lineRule="auto"/>
        <w:rPr>
          <w:bCs/>
          <w:sz w:val="24"/>
          <w:szCs w:val="24"/>
        </w:rPr>
      </w:pPr>
      <w:r>
        <w:rPr>
          <w:bCs/>
          <w:sz w:val="24"/>
          <w:szCs w:val="24"/>
        </w:rPr>
        <w:br w:type="page"/>
      </w:r>
    </w:p>
    <w:p w14:paraId="191735A4" w14:textId="77777777" w:rsidR="0070589C" w:rsidRPr="00733FF8" w:rsidRDefault="0070589C" w:rsidP="0070589C">
      <w:pPr>
        <w:pStyle w:val="Heading1"/>
        <w:kinsoku w:val="0"/>
        <w:overflowPunct w:val="0"/>
        <w:spacing w:before="58"/>
        <w:ind w:left="0"/>
        <w:rPr>
          <w:sz w:val="32"/>
          <w:szCs w:val="32"/>
        </w:rPr>
      </w:pPr>
      <w:r w:rsidRPr="00733FF8">
        <w:rPr>
          <w:sz w:val="32"/>
          <w:szCs w:val="32"/>
        </w:rPr>
        <w:lastRenderedPageBreak/>
        <w:t xml:space="preserve">Chapter </w:t>
      </w:r>
      <w:r>
        <w:rPr>
          <w:sz w:val="32"/>
          <w:szCs w:val="32"/>
        </w:rPr>
        <w:t>15</w:t>
      </w:r>
    </w:p>
    <w:p w14:paraId="2A71A069" w14:textId="77777777" w:rsidR="0070589C" w:rsidRPr="00733FF8" w:rsidRDefault="0070589C" w:rsidP="0070589C">
      <w:pPr>
        <w:rPr>
          <w:b/>
          <w:sz w:val="32"/>
          <w:szCs w:val="32"/>
        </w:rPr>
      </w:pPr>
    </w:p>
    <w:p w14:paraId="6423943A" w14:textId="77777777" w:rsidR="0070589C" w:rsidRPr="00733FF8" w:rsidRDefault="0070589C" w:rsidP="0070589C">
      <w:pPr>
        <w:rPr>
          <w:b/>
          <w:sz w:val="32"/>
          <w:szCs w:val="32"/>
        </w:rPr>
      </w:pPr>
      <w:r>
        <w:rPr>
          <w:b/>
          <w:sz w:val="32"/>
          <w:szCs w:val="32"/>
        </w:rPr>
        <w:t>Disaster Justice</w:t>
      </w:r>
    </w:p>
    <w:p w14:paraId="43FA607B" w14:textId="77777777" w:rsidR="0070589C" w:rsidRDefault="0070589C" w:rsidP="0070589C">
      <w:pPr>
        <w:pStyle w:val="BodyText"/>
        <w:kinsoku w:val="0"/>
        <w:overflowPunct w:val="0"/>
        <w:rPr>
          <w:b/>
          <w:bCs/>
        </w:rPr>
      </w:pPr>
    </w:p>
    <w:p w14:paraId="775423F3" w14:textId="77777777" w:rsidR="0070589C" w:rsidRPr="00247DBD" w:rsidRDefault="0070589C" w:rsidP="00307558">
      <w:pPr>
        <w:pStyle w:val="BodyText"/>
        <w:numPr>
          <w:ilvl w:val="0"/>
          <w:numId w:val="33"/>
        </w:numPr>
        <w:kinsoku w:val="0"/>
        <w:overflowPunct w:val="0"/>
        <w:ind w:right="897"/>
        <w:rPr>
          <w:b/>
        </w:rPr>
      </w:pPr>
      <w:r>
        <w:rPr>
          <w:b/>
        </w:rPr>
        <w:t xml:space="preserve"> Introduction</w:t>
      </w:r>
    </w:p>
    <w:p w14:paraId="71F4163D" w14:textId="77777777" w:rsidR="0070589C" w:rsidRDefault="0070589C" w:rsidP="0070589C">
      <w:pPr>
        <w:pStyle w:val="BodyText"/>
        <w:kinsoku w:val="0"/>
        <w:overflowPunct w:val="0"/>
        <w:ind w:right="897"/>
        <w:jc w:val="both"/>
      </w:pPr>
    </w:p>
    <w:p w14:paraId="0792A4C3" w14:textId="5A771A4C" w:rsidR="00995CBD" w:rsidRPr="00EB5710" w:rsidRDefault="00D1606D" w:rsidP="00995CBD">
      <w:pPr>
        <w:pStyle w:val="BodyText"/>
        <w:kinsoku w:val="0"/>
        <w:overflowPunct w:val="0"/>
        <w:ind w:firstLine="360"/>
      </w:pPr>
      <w:r w:rsidRPr="00D1606D">
        <w:t xml:space="preserve">The opening narrative describing the impacts of the Hermit’s Peak/Calf Canyon Fire in </w:t>
      </w:r>
      <w:r w:rsidR="00D51AF3">
        <w:t>2022</w:t>
      </w:r>
      <w:r w:rsidR="00DE06F1">
        <w:t xml:space="preserve"> </w:t>
      </w:r>
      <w:r w:rsidRPr="00D1606D">
        <w:t xml:space="preserve">sets the stage for this chapter, illustrating how individual communities may experience unique impacts from disasters such as wildfires, floods, hurricanes, and other natural catastrophes.  </w:t>
      </w:r>
      <w:r w:rsidR="00857E2B" w:rsidRPr="00EB5710">
        <w:t>We will return to the Hermit</w:t>
      </w:r>
      <w:r w:rsidR="00DE06F1" w:rsidRPr="00EB5710">
        <w:t xml:space="preserve">’s Peak/Calf Canyon and the unique culture of northern New Mexico in the case study that concludes this chapter.  </w:t>
      </w:r>
    </w:p>
    <w:p w14:paraId="43CED262" w14:textId="77777777" w:rsidR="00995CBD" w:rsidRPr="00EB5710" w:rsidRDefault="00995CBD" w:rsidP="00995CBD">
      <w:pPr>
        <w:pStyle w:val="BodyText"/>
        <w:kinsoku w:val="0"/>
        <w:overflowPunct w:val="0"/>
        <w:ind w:firstLine="360"/>
      </w:pPr>
    </w:p>
    <w:p w14:paraId="761D5DB5" w14:textId="1E76912B" w:rsidR="00D1606D" w:rsidRPr="00D1606D" w:rsidRDefault="00D1606D" w:rsidP="00995CBD">
      <w:pPr>
        <w:pStyle w:val="BodyText"/>
        <w:kinsoku w:val="0"/>
        <w:overflowPunct w:val="0"/>
        <w:ind w:firstLine="360"/>
      </w:pPr>
      <w:r w:rsidRPr="00D1606D">
        <w:t xml:space="preserve">To begin discussion of this chapter, instructors may ask if any students have been personally impacted by any disaster.  Some students may be eager to share their experiences and others may be reticent to talk and </w:t>
      </w:r>
      <w:r w:rsidR="00F02753" w:rsidRPr="00EB5710">
        <w:t xml:space="preserve">perhaps </w:t>
      </w:r>
      <w:r w:rsidRPr="00D1606D">
        <w:t>still dealing with trauma.  Some students may have experienced fires on the West Coast, hurricanes on the East Coast, or flooding in the Mid-West.  Some may have lost loved ones or know someone who did.  All students today probably remember their experience with COVID—and that, at the least, will provide them with some common ground for thinking about disparate impacts they have observed, perhaps in their own families or in surrounding communities. </w:t>
      </w:r>
    </w:p>
    <w:p w14:paraId="5FA0E91B" w14:textId="77777777" w:rsidR="00D1606D" w:rsidRPr="00D1606D" w:rsidRDefault="00D1606D" w:rsidP="00D1606D">
      <w:pPr>
        <w:pStyle w:val="BodyText"/>
        <w:kinsoku w:val="0"/>
        <w:overflowPunct w:val="0"/>
        <w:ind w:right="540"/>
      </w:pPr>
      <w:r w:rsidRPr="00D1606D">
        <w:t> </w:t>
      </w:r>
    </w:p>
    <w:p w14:paraId="75A47748" w14:textId="7E5BD6B8" w:rsidR="009828B1" w:rsidRPr="00EB5710" w:rsidRDefault="00D1606D" w:rsidP="009828B1">
      <w:pPr>
        <w:ind w:firstLine="720"/>
        <w:jc w:val="both"/>
        <w:rPr>
          <w:w w:val="110"/>
          <w:sz w:val="24"/>
          <w:szCs w:val="24"/>
        </w:rPr>
      </w:pPr>
      <w:r w:rsidRPr="00D1606D">
        <w:rPr>
          <w:sz w:val="24"/>
          <w:szCs w:val="24"/>
        </w:rPr>
        <w:t>The COVID-19 pandemic provides a powerful example of concerns for disaster justice.  </w:t>
      </w:r>
      <w:r w:rsidR="0070589C" w:rsidRPr="00EB5710">
        <w:rPr>
          <w:sz w:val="24"/>
          <w:szCs w:val="24"/>
        </w:rPr>
        <w:t xml:space="preserve">While an infectious disease may not fit the popular notion of a “disaster,” the COVID-19 pandemic in fact triggered federal disaster declarations in all U.S. states, territories, and many tribal nations.  </w:t>
      </w:r>
      <w:r w:rsidR="00D8040A" w:rsidRPr="00EB5710">
        <w:rPr>
          <w:sz w:val="24"/>
          <w:szCs w:val="24"/>
        </w:rPr>
        <w:t>The COVID-19 pandemic also had markedly disparate impacts</w:t>
      </w:r>
      <w:r w:rsidR="00563EAA" w:rsidRPr="00EB5710">
        <w:rPr>
          <w:sz w:val="24"/>
          <w:szCs w:val="24"/>
        </w:rPr>
        <w:t xml:space="preserve"> on older adults, as well as </w:t>
      </w:r>
      <w:r w:rsidR="0070589C" w:rsidRPr="00EB5710">
        <w:rPr>
          <w:sz w:val="24"/>
          <w:szCs w:val="24"/>
        </w:rPr>
        <w:t xml:space="preserve">Black, Latino, and Indigenous populations. </w:t>
      </w:r>
      <w:r w:rsidR="009828B1" w:rsidRPr="00EB5710">
        <w:rPr>
          <w:sz w:val="24"/>
          <w:szCs w:val="24"/>
        </w:rPr>
        <w:t xml:space="preserve"> </w:t>
      </w:r>
      <w:r w:rsidR="009828B1" w:rsidRPr="00EB5710">
        <w:rPr>
          <w:sz w:val="24"/>
          <w:szCs w:val="24"/>
        </w:rPr>
        <w:t xml:space="preserve">One early study from Louisiana, for example, found that Black people comprised 31 percent of the study population but almost 77 percent of the COVID patients who required hospitalization and more than 70 percent of COVID patients who died.  Eboni G. Price-Haywood, </w:t>
      </w:r>
      <w:r w:rsidR="009828B1" w:rsidRPr="00EB5710">
        <w:rPr>
          <w:i/>
          <w:sz w:val="24"/>
          <w:szCs w:val="24"/>
        </w:rPr>
        <w:t>et al</w:t>
      </w:r>
      <w:r w:rsidR="009828B1" w:rsidRPr="00EB5710">
        <w:rPr>
          <w:sz w:val="24"/>
          <w:szCs w:val="24"/>
        </w:rPr>
        <w:t xml:space="preserve">., </w:t>
      </w:r>
      <w:r w:rsidR="009828B1" w:rsidRPr="00EB5710">
        <w:rPr>
          <w:i/>
          <w:sz w:val="24"/>
          <w:szCs w:val="24"/>
        </w:rPr>
        <w:t>Hospitalization and Mortality among Black Patients and White Patients with Covid-19</w:t>
      </w:r>
      <w:r w:rsidR="009828B1" w:rsidRPr="00EB5710">
        <w:rPr>
          <w:sz w:val="24"/>
          <w:szCs w:val="24"/>
        </w:rPr>
        <w:t xml:space="preserve">, 382 </w:t>
      </w:r>
      <w:r w:rsidR="009828B1" w:rsidRPr="00EB5710">
        <w:rPr>
          <w:smallCaps/>
          <w:sz w:val="24"/>
          <w:szCs w:val="24"/>
        </w:rPr>
        <w:t>N. Engl. J. Med</w:t>
      </w:r>
      <w:r w:rsidR="009828B1" w:rsidRPr="00EB5710">
        <w:rPr>
          <w:sz w:val="24"/>
          <w:szCs w:val="24"/>
        </w:rPr>
        <w:t>. 2534 (2020).  Other studies found similarly devastating impacts of COVID-19</w:t>
      </w:r>
      <w:r w:rsidR="00E65026" w:rsidRPr="00EB5710">
        <w:rPr>
          <w:sz w:val="24"/>
          <w:szCs w:val="24"/>
        </w:rPr>
        <w:t xml:space="preserve">.  </w:t>
      </w:r>
      <w:r w:rsidR="009828B1" w:rsidRPr="00EB5710">
        <w:rPr>
          <w:i/>
          <w:sz w:val="24"/>
          <w:szCs w:val="24"/>
        </w:rPr>
        <w:t>See, e.g.,</w:t>
      </w:r>
      <w:r w:rsidR="009828B1" w:rsidRPr="00EB5710">
        <w:rPr>
          <w:sz w:val="24"/>
          <w:szCs w:val="24"/>
        </w:rPr>
        <w:t xml:space="preserve"> David E. Hayes-Bautista, Paul Hsu, &amp; Giselle D. Hernández, </w:t>
      </w:r>
      <w:r w:rsidR="009828B1" w:rsidRPr="00EB5710">
        <w:rPr>
          <w:i/>
          <w:sz w:val="24"/>
          <w:szCs w:val="24"/>
        </w:rPr>
        <w:t>Covid Casts Stark Light on Structural Inequities in California</w:t>
      </w:r>
      <w:r w:rsidR="009828B1" w:rsidRPr="00EB5710">
        <w:rPr>
          <w:sz w:val="24"/>
          <w:szCs w:val="24"/>
        </w:rPr>
        <w:t xml:space="preserve"> (2020) (finding the </w:t>
      </w:r>
      <w:r w:rsidR="003B470B">
        <w:rPr>
          <w:sz w:val="24"/>
          <w:szCs w:val="24"/>
        </w:rPr>
        <w:t xml:space="preserve">COVID </w:t>
      </w:r>
      <w:r w:rsidR="009828B1" w:rsidRPr="00EB5710">
        <w:rPr>
          <w:sz w:val="24"/>
          <w:szCs w:val="24"/>
        </w:rPr>
        <w:t xml:space="preserve">death rate in California </w:t>
      </w:r>
      <w:r w:rsidR="003B470B">
        <w:rPr>
          <w:sz w:val="24"/>
          <w:szCs w:val="24"/>
        </w:rPr>
        <w:t>several</w:t>
      </w:r>
      <w:r w:rsidR="009828B1" w:rsidRPr="00EB5710">
        <w:rPr>
          <w:sz w:val="24"/>
          <w:szCs w:val="24"/>
        </w:rPr>
        <w:t xml:space="preserve"> times higher </w:t>
      </w:r>
      <w:r w:rsidR="003B470B">
        <w:rPr>
          <w:sz w:val="24"/>
          <w:szCs w:val="24"/>
        </w:rPr>
        <w:t xml:space="preserve">for Latinos </w:t>
      </w:r>
      <w:r w:rsidR="009828B1" w:rsidRPr="00EB5710">
        <w:rPr>
          <w:sz w:val="24"/>
          <w:szCs w:val="24"/>
        </w:rPr>
        <w:t>than for Non-Hispanic</w:t>
      </w:r>
      <w:r w:rsidR="007E7CD9">
        <w:rPr>
          <w:sz w:val="24"/>
          <w:szCs w:val="24"/>
        </w:rPr>
        <w:t xml:space="preserve"> whites</w:t>
      </w:r>
      <w:r w:rsidR="009828B1" w:rsidRPr="00EB5710">
        <w:rPr>
          <w:sz w:val="24"/>
          <w:szCs w:val="24"/>
        </w:rPr>
        <w:t xml:space="preserve">); </w:t>
      </w:r>
      <w:r w:rsidR="009828B1" w:rsidRPr="00EB5710">
        <w:rPr>
          <w:w w:val="110"/>
          <w:sz w:val="24"/>
          <w:szCs w:val="24"/>
        </w:rPr>
        <w:t>Desi</w:t>
      </w:r>
      <w:r w:rsidR="009828B1" w:rsidRPr="00EB5710">
        <w:rPr>
          <w:spacing w:val="1"/>
          <w:w w:val="110"/>
          <w:sz w:val="24"/>
          <w:szCs w:val="24"/>
        </w:rPr>
        <w:t xml:space="preserve"> </w:t>
      </w:r>
      <w:r w:rsidR="009828B1" w:rsidRPr="00EB5710">
        <w:rPr>
          <w:w w:val="110"/>
          <w:sz w:val="24"/>
          <w:szCs w:val="24"/>
        </w:rPr>
        <w:t>Rodriguez-Lonebear</w:t>
      </w:r>
      <w:r w:rsidR="009828B1" w:rsidRPr="00EB5710">
        <w:rPr>
          <w:spacing w:val="-4"/>
          <w:w w:val="110"/>
          <w:sz w:val="24"/>
          <w:szCs w:val="24"/>
        </w:rPr>
        <w:t xml:space="preserve"> </w:t>
      </w:r>
      <w:r w:rsidR="009828B1" w:rsidRPr="00EB5710">
        <w:rPr>
          <w:i/>
          <w:iCs/>
          <w:w w:val="110"/>
          <w:sz w:val="24"/>
          <w:szCs w:val="24"/>
        </w:rPr>
        <w:t>et</w:t>
      </w:r>
      <w:r w:rsidR="009828B1" w:rsidRPr="00EB5710">
        <w:rPr>
          <w:i/>
          <w:iCs/>
          <w:spacing w:val="2"/>
          <w:w w:val="110"/>
          <w:sz w:val="24"/>
          <w:szCs w:val="24"/>
        </w:rPr>
        <w:t xml:space="preserve"> </w:t>
      </w:r>
      <w:r w:rsidR="009828B1" w:rsidRPr="00EB5710">
        <w:rPr>
          <w:i/>
          <w:iCs/>
          <w:w w:val="110"/>
          <w:sz w:val="24"/>
          <w:szCs w:val="24"/>
        </w:rPr>
        <w:t>al.,</w:t>
      </w:r>
      <w:r w:rsidR="009828B1" w:rsidRPr="00EB5710">
        <w:rPr>
          <w:i/>
          <w:iCs/>
          <w:spacing w:val="-12"/>
          <w:w w:val="110"/>
          <w:sz w:val="24"/>
          <w:szCs w:val="24"/>
        </w:rPr>
        <w:t xml:space="preserve"> </w:t>
      </w:r>
      <w:r w:rsidR="009828B1" w:rsidRPr="00EB5710">
        <w:rPr>
          <w:i/>
          <w:iCs/>
          <w:w w:val="110"/>
          <w:sz w:val="24"/>
          <w:szCs w:val="24"/>
        </w:rPr>
        <w:t>American</w:t>
      </w:r>
      <w:r w:rsidR="009828B1" w:rsidRPr="00EB5710">
        <w:rPr>
          <w:i/>
          <w:iCs/>
          <w:spacing w:val="7"/>
          <w:w w:val="110"/>
          <w:sz w:val="24"/>
          <w:szCs w:val="24"/>
        </w:rPr>
        <w:t xml:space="preserve"> </w:t>
      </w:r>
      <w:r w:rsidR="009828B1" w:rsidRPr="00EB5710">
        <w:rPr>
          <w:i/>
          <w:iCs/>
          <w:w w:val="110"/>
          <w:sz w:val="24"/>
          <w:szCs w:val="24"/>
        </w:rPr>
        <w:t>Indian</w:t>
      </w:r>
      <w:r w:rsidR="009828B1" w:rsidRPr="00EB5710">
        <w:rPr>
          <w:i/>
          <w:iCs/>
          <w:spacing w:val="-3"/>
          <w:w w:val="110"/>
          <w:sz w:val="24"/>
          <w:szCs w:val="24"/>
        </w:rPr>
        <w:t xml:space="preserve"> </w:t>
      </w:r>
      <w:r w:rsidR="009828B1" w:rsidRPr="00EB5710">
        <w:rPr>
          <w:i/>
          <w:iCs/>
          <w:w w:val="110"/>
          <w:sz w:val="24"/>
          <w:szCs w:val="24"/>
        </w:rPr>
        <w:t>Reservations</w:t>
      </w:r>
      <w:r w:rsidR="009828B1" w:rsidRPr="00EB5710">
        <w:rPr>
          <w:i/>
          <w:iCs/>
          <w:spacing w:val="5"/>
          <w:w w:val="110"/>
          <w:sz w:val="24"/>
          <w:szCs w:val="24"/>
        </w:rPr>
        <w:t xml:space="preserve"> </w:t>
      </w:r>
      <w:r w:rsidR="009828B1" w:rsidRPr="00EB5710">
        <w:rPr>
          <w:i/>
          <w:iCs/>
          <w:w w:val="110"/>
          <w:sz w:val="24"/>
          <w:szCs w:val="24"/>
        </w:rPr>
        <w:t>and</w:t>
      </w:r>
      <w:r w:rsidR="009828B1" w:rsidRPr="00EB5710">
        <w:rPr>
          <w:i/>
          <w:iCs/>
          <w:spacing w:val="11"/>
          <w:w w:val="110"/>
          <w:sz w:val="24"/>
          <w:szCs w:val="24"/>
        </w:rPr>
        <w:t xml:space="preserve"> </w:t>
      </w:r>
      <w:r w:rsidR="009828B1" w:rsidRPr="00EB5710">
        <w:rPr>
          <w:i/>
          <w:iCs/>
          <w:w w:val="110"/>
          <w:sz w:val="24"/>
          <w:szCs w:val="24"/>
        </w:rPr>
        <w:t>COVID-19: Correlates</w:t>
      </w:r>
      <w:r w:rsidR="009828B1" w:rsidRPr="00EB5710">
        <w:rPr>
          <w:i/>
          <w:iCs/>
          <w:spacing w:val="1"/>
          <w:w w:val="110"/>
          <w:sz w:val="24"/>
          <w:szCs w:val="24"/>
        </w:rPr>
        <w:t xml:space="preserve"> </w:t>
      </w:r>
      <w:r w:rsidR="009828B1" w:rsidRPr="00EB5710">
        <w:rPr>
          <w:i/>
          <w:iCs/>
          <w:w w:val="105"/>
          <w:sz w:val="24"/>
          <w:szCs w:val="24"/>
        </w:rPr>
        <w:t>of</w:t>
      </w:r>
      <w:r w:rsidR="009828B1" w:rsidRPr="00EB5710">
        <w:rPr>
          <w:i/>
          <w:iCs/>
          <w:spacing w:val="1"/>
          <w:w w:val="105"/>
          <w:sz w:val="24"/>
          <w:szCs w:val="24"/>
        </w:rPr>
        <w:t xml:space="preserve"> </w:t>
      </w:r>
      <w:r w:rsidR="009828B1" w:rsidRPr="00EB5710">
        <w:rPr>
          <w:i/>
          <w:iCs/>
          <w:w w:val="105"/>
          <w:sz w:val="24"/>
          <w:szCs w:val="24"/>
        </w:rPr>
        <w:t>Early</w:t>
      </w:r>
      <w:r w:rsidR="009828B1" w:rsidRPr="00EB5710">
        <w:rPr>
          <w:i/>
          <w:iCs/>
          <w:spacing w:val="1"/>
          <w:w w:val="105"/>
          <w:sz w:val="24"/>
          <w:szCs w:val="24"/>
        </w:rPr>
        <w:t xml:space="preserve"> </w:t>
      </w:r>
      <w:r w:rsidR="009828B1" w:rsidRPr="00EB5710">
        <w:rPr>
          <w:i/>
          <w:iCs/>
          <w:w w:val="105"/>
          <w:sz w:val="24"/>
          <w:szCs w:val="24"/>
        </w:rPr>
        <w:t>Infection Rates in</w:t>
      </w:r>
      <w:r w:rsidR="009828B1" w:rsidRPr="00EB5710">
        <w:rPr>
          <w:i/>
          <w:iCs/>
          <w:spacing w:val="1"/>
          <w:w w:val="105"/>
          <w:sz w:val="24"/>
          <w:szCs w:val="24"/>
        </w:rPr>
        <w:t xml:space="preserve"> </w:t>
      </w:r>
      <w:r w:rsidR="009828B1" w:rsidRPr="00EB5710">
        <w:rPr>
          <w:i/>
          <w:iCs/>
          <w:w w:val="105"/>
          <w:sz w:val="24"/>
          <w:szCs w:val="24"/>
        </w:rPr>
        <w:t xml:space="preserve">the Pandemic, </w:t>
      </w:r>
      <w:r w:rsidR="009828B1" w:rsidRPr="00EB5710">
        <w:rPr>
          <w:w w:val="105"/>
          <w:sz w:val="24"/>
          <w:szCs w:val="24"/>
        </w:rPr>
        <w:t>26 J.</w:t>
      </w:r>
      <w:r w:rsidR="009828B1" w:rsidRPr="00EB5710">
        <w:rPr>
          <w:spacing w:val="1"/>
          <w:w w:val="105"/>
          <w:sz w:val="24"/>
          <w:szCs w:val="24"/>
        </w:rPr>
        <w:t xml:space="preserve"> </w:t>
      </w:r>
      <w:r w:rsidR="009828B1" w:rsidRPr="00EB5710">
        <w:rPr>
          <w:smallCaps/>
          <w:w w:val="105"/>
          <w:sz w:val="24"/>
          <w:szCs w:val="24"/>
        </w:rPr>
        <w:t>Pub. Health. Mgmt. &amp; Pract.</w:t>
      </w:r>
      <w:r w:rsidR="009828B1" w:rsidRPr="00EB5710">
        <w:rPr>
          <w:w w:val="105"/>
          <w:sz w:val="24"/>
          <w:szCs w:val="24"/>
        </w:rPr>
        <w:t xml:space="preserve"> 371</w:t>
      </w:r>
      <w:r w:rsidR="009828B1" w:rsidRPr="00EB5710">
        <w:rPr>
          <w:spacing w:val="1"/>
          <w:w w:val="105"/>
          <w:sz w:val="24"/>
          <w:szCs w:val="24"/>
        </w:rPr>
        <w:t xml:space="preserve"> </w:t>
      </w:r>
      <w:r w:rsidR="009828B1" w:rsidRPr="00EB5710">
        <w:rPr>
          <w:w w:val="110"/>
          <w:sz w:val="24"/>
          <w:szCs w:val="24"/>
        </w:rPr>
        <w:t>(2020) (finding the rate of COVID infection among Indian populations more than four times higher than white populations).</w:t>
      </w:r>
    </w:p>
    <w:p w14:paraId="4180F626" w14:textId="77777777" w:rsidR="009828B1" w:rsidRPr="00EB5710" w:rsidRDefault="009828B1" w:rsidP="009828B1">
      <w:pPr>
        <w:ind w:firstLine="720"/>
        <w:jc w:val="both"/>
        <w:rPr>
          <w:w w:val="110"/>
          <w:sz w:val="24"/>
          <w:szCs w:val="24"/>
        </w:rPr>
      </w:pPr>
    </w:p>
    <w:p w14:paraId="530B0EF2" w14:textId="4FDDB531" w:rsidR="001A43DC" w:rsidRPr="00EB5710" w:rsidRDefault="009828B1" w:rsidP="00815F34">
      <w:pPr>
        <w:pStyle w:val="BodyText"/>
        <w:kinsoku w:val="0"/>
        <w:overflowPunct w:val="0"/>
        <w:ind w:firstLine="360"/>
        <w:jc w:val="both"/>
      </w:pPr>
      <w:r w:rsidRPr="00EB5710">
        <w:rPr>
          <w:w w:val="110"/>
        </w:rPr>
        <w:t xml:space="preserve">Reasons for these stark disparities are many, </w:t>
      </w:r>
      <w:r w:rsidR="007101C3" w:rsidRPr="00EB5710">
        <w:rPr>
          <w:w w:val="110"/>
        </w:rPr>
        <w:t xml:space="preserve">and instructors might ask students for their </w:t>
      </w:r>
      <w:r w:rsidR="000F7833" w:rsidRPr="00EB5710">
        <w:rPr>
          <w:w w:val="110"/>
        </w:rPr>
        <w:t xml:space="preserve">ideas on possible explanations.  </w:t>
      </w:r>
      <w:r w:rsidR="007E7CD9">
        <w:rPr>
          <w:w w:val="110"/>
        </w:rPr>
        <w:t>One</w:t>
      </w:r>
      <w:r w:rsidRPr="00EB5710">
        <w:rPr>
          <w:w w:val="110"/>
        </w:rPr>
        <w:t xml:space="preserve"> important factor in COVID infection and mortality may be air pollution, which may affect communities of color who remain disproportionately represented in polluted urban environments.</w:t>
      </w:r>
      <w:r w:rsidR="0089534B">
        <w:rPr>
          <w:w w:val="110"/>
        </w:rPr>
        <w:t xml:space="preserve">  </w:t>
      </w:r>
      <w:r w:rsidR="005A71A3" w:rsidRPr="005A71A3">
        <w:rPr>
          <w:i/>
          <w:iCs/>
          <w:w w:val="110"/>
        </w:rPr>
        <w:t>See, e.g.,</w:t>
      </w:r>
      <w:r w:rsidR="005A71A3">
        <w:rPr>
          <w:w w:val="110"/>
        </w:rPr>
        <w:t xml:space="preserve"> Matthew A. Cole et al., </w:t>
      </w:r>
      <w:r w:rsidR="005A71A3" w:rsidRPr="005A71A3">
        <w:rPr>
          <w:i/>
          <w:iCs/>
          <w:w w:val="110"/>
        </w:rPr>
        <w:t>Air Pollution and Covid-19</w:t>
      </w:r>
      <w:r w:rsidR="005A71A3">
        <w:rPr>
          <w:w w:val="110"/>
        </w:rPr>
        <w:t>, Discussion Papers 20-13, Dept. of Economics, U. of Birmingham, June 2020.</w:t>
      </w:r>
    </w:p>
    <w:p w14:paraId="1891FF6A" w14:textId="77777777" w:rsidR="001A43DC" w:rsidRDefault="001A43DC" w:rsidP="004E634D">
      <w:pPr>
        <w:pStyle w:val="BodyText"/>
        <w:kinsoku w:val="0"/>
        <w:overflowPunct w:val="0"/>
        <w:ind w:firstLine="360"/>
      </w:pPr>
    </w:p>
    <w:p w14:paraId="3F913B7B" w14:textId="44E6F9D3" w:rsidR="0070589C" w:rsidRPr="00CC3DE5" w:rsidRDefault="0070589C" w:rsidP="00815F34">
      <w:pPr>
        <w:pStyle w:val="BodyText"/>
        <w:kinsoku w:val="0"/>
        <w:overflowPunct w:val="0"/>
        <w:ind w:firstLine="360"/>
        <w:jc w:val="both"/>
        <w:rPr>
          <w:rFonts w:eastAsia="Times New Roman"/>
        </w:rPr>
      </w:pPr>
      <w:r w:rsidRPr="00CC3DE5">
        <w:lastRenderedPageBreak/>
        <w:t xml:space="preserve">The disparate impacts of the COVID-19 pandemic are sadly consistent with the disparate impacts of other disasters, including hurricanes and floods.  As such, study of the disparate impacts from one form of disaster or another described in this chapter may help students begin a critical analysis of any other disaster not examined at length in this chapter, including cyber-attacks, </w:t>
      </w:r>
      <w:r w:rsidR="00D04C44">
        <w:t xml:space="preserve">economic upheavals, </w:t>
      </w:r>
      <w:r w:rsidRPr="00CC3DE5">
        <w:t>and any other catastrophe that may come.</w:t>
      </w:r>
    </w:p>
    <w:p w14:paraId="41A3C05D" w14:textId="77777777" w:rsidR="0070589C" w:rsidRDefault="0070589C" w:rsidP="0070589C">
      <w:pPr>
        <w:pStyle w:val="BodyText"/>
        <w:kinsoku w:val="0"/>
        <w:overflowPunct w:val="0"/>
        <w:ind w:right="897" w:firstLine="720"/>
        <w:jc w:val="both"/>
      </w:pPr>
    </w:p>
    <w:p w14:paraId="42179217" w14:textId="77777777" w:rsidR="0070589C" w:rsidRDefault="0070589C" w:rsidP="00307558">
      <w:pPr>
        <w:pStyle w:val="BodyText"/>
        <w:numPr>
          <w:ilvl w:val="0"/>
          <w:numId w:val="33"/>
        </w:numPr>
        <w:kinsoku w:val="0"/>
        <w:overflowPunct w:val="0"/>
        <w:ind w:right="897"/>
        <w:jc w:val="both"/>
        <w:rPr>
          <w:b/>
        </w:rPr>
      </w:pPr>
      <w:r>
        <w:rPr>
          <w:b/>
        </w:rPr>
        <w:t>Vulnerability and Resilience</w:t>
      </w:r>
    </w:p>
    <w:p w14:paraId="1D4C622F" w14:textId="77777777" w:rsidR="0070589C" w:rsidRDefault="0070589C" w:rsidP="0070589C">
      <w:pPr>
        <w:pStyle w:val="BodyText"/>
        <w:kinsoku w:val="0"/>
        <w:overflowPunct w:val="0"/>
        <w:ind w:left="720" w:right="897"/>
        <w:jc w:val="both"/>
        <w:rPr>
          <w:b/>
        </w:rPr>
      </w:pPr>
    </w:p>
    <w:p w14:paraId="165F7926" w14:textId="5F0BA591" w:rsidR="0070589C" w:rsidRPr="00247D12" w:rsidRDefault="0070589C" w:rsidP="0070589C">
      <w:pPr>
        <w:pStyle w:val="BodyText"/>
        <w:kinsoku w:val="0"/>
        <w:overflowPunct w:val="0"/>
        <w:ind w:right="540" w:firstLine="360"/>
        <w:jc w:val="both"/>
      </w:pPr>
      <w:r>
        <w:t xml:space="preserve">The concepts of “vulnerability” and “resilience” serve as analytical frames for evaluating and predicting the impacts of disaster, much in the way that “fair treatment” and “meaningful involvement” may serve as analytical tools to evaluate claims of environmental injustice.  As such, and as suggested in the readings for this section, students should be given plenty of opportunity to </w:t>
      </w:r>
      <w:r w:rsidR="00563D12">
        <w:t xml:space="preserve">evaluate and </w:t>
      </w:r>
      <w:r>
        <w:t>practice applying these concepts in context.</w:t>
      </w:r>
    </w:p>
    <w:p w14:paraId="67B752A3" w14:textId="77777777" w:rsidR="0070589C" w:rsidRDefault="0070589C" w:rsidP="0070589C">
      <w:pPr>
        <w:pStyle w:val="BodyText"/>
        <w:kinsoku w:val="0"/>
        <w:overflowPunct w:val="0"/>
        <w:ind w:left="720" w:right="897"/>
        <w:jc w:val="both"/>
        <w:rPr>
          <w:b/>
        </w:rPr>
      </w:pPr>
    </w:p>
    <w:p w14:paraId="7EEA1B04" w14:textId="77777777" w:rsidR="0070589C" w:rsidRPr="00247DBD" w:rsidRDefault="0070589C" w:rsidP="0070589C">
      <w:pPr>
        <w:pStyle w:val="BodyText"/>
        <w:kinsoku w:val="0"/>
        <w:overflowPunct w:val="0"/>
        <w:ind w:right="897"/>
        <w:jc w:val="both"/>
        <w:rPr>
          <w:b/>
        </w:rPr>
      </w:pPr>
      <w:r>
        <w:rPr>
          <w:b/>
        </w:rPr>
        <w:t>1.  Vulnerability</w:t>
      </w:r>
    </w:p>
    <w:p w14:paraId="761B668E" w14:textId="77777777" w:rsidR="0070589C" w:rsidRPr="00324C96" w:rsidRDefault="0070589C" w:rsidP="0070589C">
      <w:pPr>
        <w:pStyle w:val="BodyText"/>
        <w:kinsoku w:val="0"/>
        <w:overflowPunct w:val="0"/>
        <w:ind w:right="897"/>
        <w:jc w:val="both"/>
      </w:pPr>
    </w:p>
    <w:p w14:paraId="143A4A67" w14:textId="77777777" w:rsidR="0070589C" w:rsidRDefault="0070589C" w:rsidP="0070589C">
      <w:pPr>
        <w:pStyle w:val="BodyText"/>
        <w:kinsoku w:val="0"/>
        <w:overflowPunct w:val="0"/>
        <w:ind w:right="540" w:firstLine="720"/>
        <w:jc w:val="both"/>
      </w:pPr>
      <w:r>
        <w:t xml:space="preserve">The excerpt here from the article by Prof. Rob Verchick introduces key concepts of vulnerability analysis, including the distinction between physical vulnerability and social vulnerability.  It also demonstrates a common methodology for theorists in disaster justice, like theorists in environmental justice more broadly, to draw upon works from different disciplines, including here the foundational research of geographer Susan Cutter.  Instructors teaching in a writing seminar may wish to make Verchick’s full article available to students, not just for the research methodology but as a model of great writing, with creative and compelling narrative style. </w:t>
      </w:r>
    </w:p>
    <w:p w14:paraId="1B450BCA" w14:textId="77777777" w:rsidR="0070589C" w:rsidRDefault="0070589C" w:rsidP="0070589C">
      <w:pPr>
        <w:pStyle w:val="BodyText"/>
        <w:kinsoku w:val="0"/>
        <w:overflowPunct w:val="0"/>
        <w:ind w:right="897" w:firstLine="720"/>
        <w:jc w:val="both"/>
      </w:pPr>
    </w:p>
    <w:p w14:paraId="42E20AF7" w14:textId="77777777" w:rsidR="0070589C" w:rsidRDefault="0070589C" w:rsidP="0070589C">
      <w:pPr>
        <w:pStyle w:val="BodyText"/>
        <w:kinsoku w:val="0"/>
        <w:overflowPunct w:val="0"/>
        <w:ind w:right="897"/>
        <w:jc w:val="center"/>
        <w:rPr>
          <w:b/>
          <w:i/>
          <w:sz w:val="28"/>
          <w:szCs w:val="28"/>
        </w:rPr>
      </w:pPr>
      <w:r w:rsidRPr="006201D9">
        <w:rPr>
          <w:b/>
          <w:i/>
          <w:sz w:val="28"/>
          <w:szCs w:val="28"/>
        </w:rPr>
        <w:t>Notes and Questions</w:t>
      </w:r>
    </w:p>
    <w:p w14:paraId="74CB839D" w14:textId="77777777" w:rsidR="0070589C" w:rsidRDefault="0070589C" w:rsidP="0070589C">
      <w:pPr>
        <w:pStyle w:val="BodyText"/>
        <w:kinsoku w:val="0"/>
        <w:overflowPunct w:val="0"/>
        <w:ind w:right="897"/>
        <w:jc w:val="center"/>
        <w:rPr>
          <w:b/>
          <w:i/>
          <w:sz w:val="28"/>
          <w:szCs w:val="28"/>
        </w:rPr>
      </w:pPr>
    </w:p>
    <w:p w14:paraId="3E850EBA" w14:textId="77777777" w:rsidR="0070589C" w:rsidRDefault="0070589C" w:rsidP="0070589C">
      <w:pPr>
        <w:pStyle w:val="BodyText"/>
        <w:kinsoku w:val="0"/>
        <w:overflowPunct w:val="0"/>
        <w:ind w:right="540" w:firstLine="720"/>
        <w:jc w:val="both"/>
      </w:pPr>
      <w:r>
        <w:rPr>
          <w:b/>
        </w:rPr>
        <w:t>1.  Physical vulnerability.</w:t>
      </w:r>
      <w:r>
        <w:t xml:space="preserve">  This note is self-explanatory (if scary).  In discussing this note, instructors may ask students to evaluate physical hazards wherever they live currently or lived once.  If they have never thought about it, they will see that there are physical hazards everywhere.  </w:t>
      </w:r>
    </w:p>
    <w:p w14:paraId="1192D69B" w14:textId="77777777" w:rsidR="0070589C" w:rsidRDefault="0070589C" w:rsidP="0070589C">
      <w:pPr>
        <w:pStyle w:val="BodyText"/>
        <w:kinsoku w:val="0"/>
        <w:overflowPunct w:val="0"/>
        <w:ind w:right="897"/>
        <w:jc w:val="both"/>
      </w:pPr>
    </w:p>
    <w:p w14:paraId="493FB467" w14:textId="7A7A5DFA" w:rsidR="0070589C" w:rsidRDefault="0070589C" w:rsidP="0070589C">
      <w:pPr>
        <w:pStyle w:val="BodyText"/>
        <w:kinsoku w:val="0"/>
        <w:overflowPunct w:val="0"/>
        <w:ind w:right="540" w:firstLine="720"/>
        <w:jc w:val="both"/>
      </w:pPr>
      <w:r>
        <w:rPr>
          <w:b/>
        </w:rPr>
        <w:t>2.  Social vulnerability</w:t>
      </w:r>
      <w:r w:rsidRPr="007970DE">
        <w:rPr>
          <w:b/>
        </w:rPr>
        <w:t xml:space="preserve">.  </w:t>
      </w:r>
      <w:r>
        <w:t>This note draws further upon Susan Cutter’s groundbreaking research into social vulnerability and quantitative risk factors.  Note that New York City ranked first on Cutter’s scale of social vulnerability, but was joined near the top by a rural county in eastern Washington, near the Hanford Nuclear Reservation (home of the biggest cleanup in U.S. history).  While New York City may be the epitome of diverse population, Benton County, Washington, is quite the opposite.  According to the latest Census Bureau statistics (20</w:t>
      </w:r>
      <w:r w:rsidR="00A14D9C">
        <w:t>24</w:t>
      </w:r>
      <w:r>
        <w:t xml:space="preserve">), Benton County was </w:t>
      </w:r>
      <w:r w:rsidR="00A14D9C">
        <w:t>nearly 89</w:t>
      </w:r>
      <w:r>
        <w:t xml:space="preserve">% white, </w:t>
      </w:r>
      <w:r w:rsidR="0093651E">
        <w:t>27</w:t>
      </w:r>
      <w:r>
        <w:t>% Hispanic, and only 3.</w:t>
      </w:r>
      <w:r w:rsidR="00A96353">
        <w:t>7</w:t>
      </w:r>
      <w:r>
        <w:t>% Black or Native American.  As such, social vulnerability may relate to racial and ethnical diversity – but not always.</w:t>
      </w:r>
    </w:p>
    <w:p w14:paraId="2BF8A0D2" w14:textId="77777777" w:rsidR="0070589C" w:rsidRDefault="0070589C" w:rsidP="0070589C">
      <w:pPr>
        <w:pStyle w:val="BodyText"/>
        <w:kinsoku w:val="0"/>
        <w:overflowPunct w:val="0"/>
        <w:ind w:right="897" w:firstLine="720"/>
        <w:jc w:val="both"/>
      </w:pPr>
    </w:p>
    <w:p w14:paraId="7C3E641D" w14:textId="20FCD49C" w:rsidR="0070589C" w:rsidRPr="007970DE" w:rsidRDefault="0070589C" w:rsidP="0070589C">
      <w:pPr>
        <w:pStyle w:val="BodyText"/>
        <w:kinsoku w:val="0"/>
        <w:overflowPunct w:val="0"/>
        <w:ind w:right="540"/>
        <w:jc w:val="both"/>
      </w:pPr>
      <w:r>
        <w:tab/>
      </w:r>
      <w:r>
        <w:rPr>
          <w:b/>
        </w:rPr>
        <w:t>3.  Your community?</w:t>
      </w:r>
      <w:r>
        <w:t xml:space="preserve">  As either homework or an in-class activity, instructors may ask students to use </w:t>
      </w:r>
      <w:r w:rsidR="001871E9">
        <w:t xml:space="preserve">FEMA’s National Risk Index </w:t>
      </w:r>
      <w:r w:rsidR="00981C86">
        <w:t xml:space="preserve">(available </w:t>
      </w:r>
      <w:r w:rsidR="00B701D3">
        <w:t xml:space="preserve">under “GIS Tools” </w:t>
      </w:r>
      <w:r w:rsidR="00981C86">
        <w:t>on the companion website</w:t>
      </w:r>
      <w:r w:rsidR="00B701D3">
        <w:t xml:space="preserve">:  </w:t>
      </w:r>
      <w:hyperlink r:id="rId71" w:history="1">
        <w:r w:rsidR="00B701D3" w:rsidRPr="00D748F2">
          <w:rPr>
            <w:rStyle w:val="Hyperlink"/>
          </w:rPr>
          <w:t>www.environmentaljusticebook.org</w:t>
        </w:r>
      </w:hyperlink>
      <w:r w:rsidR="00B701D3">
        <w:t xml:space="preserve">) </w:t>
      </w:r>
      <w:r w:rsidR="00854428">
        <w:t>to find t</w:t>
      </w:r>
      <w:r>
        <w:t xml:space="preserve">heir own </w:t>
      </w:r>
      <w:r w:rsidR="005D6255">
        <w:t xml:space="preserve">neighborhood or </w:t>
      </w:r>
      <w:r>
        <w:t>community</w:t>
      </w:r>
      <w:r w:rsidR="009734AC">
        <w:t xml:space="preserve"> and see how it ranks </w:t>
      </w:r>
      <w:r w:rsidR="00DE57CE">
        <w:t xml:space="preserve">in terms of </w:t>
      </w:r>
      <w:r w:rsidR="00081AF5">
        <w:t xml:space="preserve">Risk Index and components including Social </w:t>
      </w:r>
      <w:r w:rsidR="00081AF5">
        <w:lastRenderedPageBreak/>
        <w:t xml:space="preserve">Vulnerability.  </w:t>
      </w:r>
      <w:r w:rsidR="006441C9">
        <w:t xml:space="preserve">(Note that </w:t>
      </w:r>
      <w:r w:rsidR="005F0CF5">
        <w:t xml:space="preserve">as of January 2026, </w:t>
      </w:r>
      <w:r w:rsidR="006441C9">
        <w:t xml:space="preserve">the NRI is now buried </w:t>
      </w:r>
      <w:r w:rsidR="00EA18D7">
        <w:t>within</w:t>
      </w:r>
      <w:r w:rsidR="005F0CF5">
        <w:t xml:space="preserve"> something called the </w:t>
      </w:r>
      <w:r w:rsidR="007D35D9">
        <w:t>“Resilience Analysis and Planning Tool,” but keep clicking and it is there!)</w:t>
      </w:r>
      <w:r w:rsidR="006441C9">
        <w:t xml:space="preserve"> </w:t>
      </w:r>
      <w:r w:rsidR="00DC7CDF">
        <w:t>W</w:t>
      </w:r>
      <w:r>
        <w:t xml:space="preserve">ere students surprised by their </w:t>
      </w:r>
      <w:r w:rsidR="00750260">
        <w:t xml:space="preserve">Risk Index </w:t>
      </w:r>
      <w:r>
        <w:t xml:space="preserve">score?  Do they believe it is accurate?  If not, why not?   </w:t>
      </w:r>
    </w:p>
    <w:p w14:paraId="0093A5D9" w14:textId="77777777" w:rsidR="0070589C" w:rsidRDefault="0070589C" w:rsidP="0070589C">
      <w:pPr>
        <w:pStyle w:val="BodyText"/>
        <w:kinsoku w:val="0"/>
        <w:overflowPunct w:val="0"/>
        <w:ind w:right="897"/>
        <w:jc w:val="both"/>
      </w:pPr>
    </w:p>
    <w:p w14:paraId="3B4E2C4E" w14:textId="7B4DDAC4" w:rsidR="0070589C" w:rsidRDefault="0070589C" w:rsidP="0070589C">
      <w:pPr>
        <w:pStyle w:val="BodyText"/>
        <w:kinsoku w:val="0"/>
        <w:overflowPunct w:val="0"/>
        <w:ind w:right="540"/>
        <w:jc w:val="both"/>
      </w:pPr>
      <w:r>
        <w:tab/>
      </w:r>
      <w:r w:rsidRPr="00EC4D23">
        <w:rPr>
          <w:b/>
        </w:rPr>
        <w:t xml:space="preserve">4.  </w:t>
      </w:r>
      <w:r w:rsidR="00857C7D">
        <w:rPr>
          <w:b/>
        </w:rPr>
        <w:t>Children and older adults</w:t>
      </w:r>
      <w:r>
        <w:t xml:space="preserve">.  This note is mostly self-explanatory.  In addition to the materials cited here, instructors may wish to review and discuss the </w:t>
      </w:r>
      <w:r w:rsidR="00807942">
        <w:t xml:space="preserve">foundational </w:t>
      </w:r>
      <w:r>
        <w:t xml:space="preserve">work of legal theorist Martha Fineman, whose research on “vulnerability theory” includes significant attention to the vulnerability of both younger and older populations.  </w:t>
      </w:r>
      <w:r w:rsidRPr="00D45318">
        <w:rPr>
          <w:i/>
        </w:rPr>
        <w:t>See, e.g</w:t>
      </w:r>
      <w:r>
        <w:t xml:space="preserve">., </w:t>
      </w:r>
      <w:r w:rsidRPr="00765691">
        <w:t xml:space="preserve">Martha Albertson Fineman, </w:t>
      </w:r>
      <w:r w:rsidRPr="00765691">
        <w:rPr>
          <w:i/>
        </w:rPr>
        <w:t>The Vulnerable Subject:  Anchoring Equality in the Human Condition</w:t>
      </w:r>
      <w:r>
        <w:t xml:space="preserve">, 20 </w:t>
      </w:r>
      <w:r w:rsidRPr="00765691">
        <w:rPr>
          <w:smallCaps/>
        </w:rPr>
        <w:t>Yale J.L. &amp; Feminism</w:t>
      </w:r>
      <w:r w:rsidRPr="00765691">
        <w:t xml:space="preserve"> 1</w:t>
      </w:r>
      <w:r>
        <w:t>, 8</w:t>
      </w:r>
      <w:r w:rsidRPr="00765691">
        <w:t xml:space="preserve"> (2008</w:t>
      </w:r>
      <w:r>
        <w:t>) (“</w:t>
      </w:r>
      <w:r w:rsidRPr="006D73D6">
        <w:t>Children and the elderly are prototypical examples more sympathetic vulnerable populations”</w:t>
      </w:r>
      <w:r>
        <w:t>).</w:t>
      </w:r>
      <w:r w:rsidRPr="00765691">
        <w:t xml:space="preserve"> </w:t>
      </w:r>
      <w:r w:rsidR="00D54BF9">
        <w:t xml:space="preserve"> Students </w:t>
      </w:r>
      <w:r w:rsidR="00A763DA">
        <w:t xml:space="preserve">particularly interested in the impacts of climate change on older adults should be directed to </w:t>
      </w:r>
      <w:r w:rsidR="00807942">
        <w:t xml:space="preserve">the essential work of Danielle Arigoni (2023), cited in this section.  </w:t>
      </w:r>
    </w:p>
    <w:p w14:paraId="41068833" w14:textId="77777777" w:rsidR="0070589C" w:rsidRDefault="0070589C" w:rsidP="0070589C">
      <w:pPr>
        <w:pStyle w:val="BodyText"/>
        <w:kinsoku w:val="0"/>
        <w:overflowPunct w:val="0"/>
        <w:ind w:right="897"/>
        <w:jc w:val="both"/>
      </w:pPr>
    </w:p>
    <w:p w14:paraId="32A3E5FE" w14:textId="7D8D82C3" w:rsidR="0070589C" w:rsidRDefault="0070589C" w:rsidP="0070589C">
      <w:pPr>
        <w:pStyle w:val="BodyText"/>
        <w:kinsoku w:val="0"/>
        <w:overflowPunct w:val="0"/>
        <w:ind w:right="540" w:firstLine="720"/>
        <w:jc w:val="both"/>
      </w:pPr>
      <w:r>
        <w:t xml:space="preserve">The final question at the end of the note may call for, among other things, contingency planning and training to ensure the protection of children or </w:t>
      </w:r>
      <w:r w:rsidR="0028792A">
        <w:t>older adults</w:t>
      </w:r>
      <w:r>
        <w:t>.</w:t>
      </w:r>
      <w:r w:rsidR="00057200">
        <w:t xml:space="preserve">  </w:t>
      </w:r>
      <w:r>
        <w:t xml:space="preserve">Fire drills in elementary schools are one classic measure to protect children.  Instructors may ask students to consider additional measures, such as how to evacuate </w:t>
      </w:r>
      <w:r w:rsidR="00244513">
        <w:t xml:space="preserve">elderly residents </w:t>
      </w:r>
      <w:r w:rsidR="005D30AB">
        <w:t xml:space="preserve">from an </w:t>
      </w:r>
      <w:r>
        <w:t xml:space="preserve">assisted care facility ahead of a flood or how to </w:t>
      </w:r>
      <w:r w:rsidR="00F87955">
        <w:t xml:space="preserve">provide </w:t>
      </w:r>
      <w:r w:rsidR="00C944D2">
        <w:t xml:space="preserve">emergency notices to </w:t>
      </w:r>
      <w:r>
        <w:t>elderly residents</w:t>
      </w:r>
      <w:r w:rsidR="00F101B1">
        <w:t xml:space="preserve"> in rural areas subject to wildfires</w:t>
      </w:r>
      <w:r>
        <w:t>.</w:t>
      </w:r>
    </w:p>
    <w:p w14:paraId="54BB1677" w14:textId="77777777" w:rsidR="0070589C" w:rsidRDefault="0070589C" w:rsidP="0070589C">
      <w:pPr>
        <w:pStyle w:val="BodyText"/>
        <w:kinsoku w:val="0"/>
        <w:overflowPunct w:val="0"/>
        <w:ind w:right="897"/>
        <w:jc w:val="both"/>
      </w:pPr>
    </w:p>
    <w:p w14:paraId="2859C13A" w14:textId="77777777" w:rsidR="0070589C" w:rsidRDefault="0070589C" w:rsidP="0070589C">
      <w:pPr>
        <w:pStyle w:val="BodyText"/>
        <w:kinsoku w:val="0"/>
        <w:overflowPunct w:val="0"/>
        <w:ind w:right="540"/>
        <w:jc w:val="both"/>
      </w:pPr>
      <w:r>
        <w:tab/>
        <w:t xml:space="preserve"> </w:t>
      </w:r>
      <w:r w:rsidRPr="004F3FCA">
        <w:rPr>
          <w:b/>
        </w:rPr>
        <w:t>5. Disability.</w:t>
      </w:r>
      <w:r>
        <w:t xml:space="preserve">  Persons with disabilities, both physical and mental, may represent another category of highly vulnerable individuals.  Students studying elder law or disabilities law may have much more to contribute here, but the note provides at least a starting point for further enquiries. </w:t>
      </w:r>
    </w:p>
    <w:p w14:paraId="16569A6D" w14:textId="77777777" w:rsidR="0070589C" w:rsidRDefault="0070589C" w:rsidP="0070589C">
      <w:pPr>
        <w:pStyle w:val="BodyText"/>
        <w:kinsoku w:val="0"/>
        <w:overflowPunct w:val="0"/>
        <w:ind w:right="897"/>
        <w:jc w:val="both"/>
      </w:pPr>
    </w:p>
    <w:p w14:paraId="136EFE99" w14:textId="462ACFA7" w:rsidR="0070589C" w:rsidRDefault="0070589C" w:rsidP="0070589C">
      <w:pPr>
        <w:pStyle w:val="BodyText"/>
        <w:kinsoku w:val="0"/>
        <w:overflowPunct w:val="0"/>
        <w:ind w:right="540"/>
        <w:jc w:val="both"/>
      </w:pPr>
      <w:r>
        <w:tab/>
      </w:r>
      <w:r w:rsidRPr="00483493">
        <w:rPr>
          <w:b/>
        </w:rPr>
        <w:t>6.</w:t>
      </w:r>
      <w:r>
        <w:rPr>
          <w:b/>
        </w:rPr>
        <w:t xml:space="preserve"> </w:t>
      </w:r>
      <w:r w:rsidRPr="00483493">
        <w:rPr>
          <w:b/>
        </w:rPr>
        <w:t>Gender.</w:t>
      </w:r>
      <w:r>
        <w:t xml:space="preserve">  Surprisingly little legal scholarship exists on the impacts of disasters on women or trans or nonbinary people, although </w:t>
      </w:r>
      <w:r w:rsidR="005E6AB7">
        <w:t xml:space="preserve">growing </w:t>
      </w:r>
      <w:r>
        <w:t>scholarship focused on women and girl</w:t>
      </w:r>
      <w:r w:rsidR="005E6AB7">
        <w:t>s</w:t>
      </w:r>
      <w:r w:rsidR="00775625">
        <w:t xml:space="preserve"> confirms disparate impacts, as </w:t>
      </w:r>
      <w:r w:rsidR="00850E96">
        <w:t xml:space="preserve">observed in </w:t>
      </w:r>
      <w:r w:rsidR="00775625">
        <w:t>the aftermath of the</w:t>
      </w:r>
      <w:r w:rsidR="00850E96">
        <w:t xml:space="preserve"> Indian Ocean tsunami in 2004</w:t>
      </w:r>
      <w:r>
        <w:t>.  Students interested in publishable work may be particularly encouraged to explore related issues in seminar writing.</w:t>
      </w:r>
    </w:p>
    <w:p w14:paraId="2429F37F" w14:textId="77777777" w:rsidR="0070589C" w:rsidRDefault="0070589C" w:rsidP="0070589C">
      <w:pPr>
        <w:pStyle w:val="BodyText"/>
        <w:kinsoku w:val="0"/>
        <w:overflowPunct w:val="0"/>
        <w:ind w:right="897"/>
        <w:jc w:val="both"/>
      </w:pPr>
    </w:p>
    <w:p w14:paraId="786F26A6" w14:textId="1201BABC" w:rsidR="0070589C" w:rsidRDefault="0070589C" w:rsidP="0070589C">
      <w:pPr>
        <w:pStyle w:val="BodyText"/>
        <w:kinsoku w:val="0"/>
        <w:overflowPunct w:val="0"/>
        <w:ind w:right="540"/>
        <w:jc w:val="both"/>
      </w:pPr>
      <w:r>
        <w:tab/>
      </w:r>
      <w:r w:rsidRPr="002B0341">
        <w:rPr>
          <w:b/>
        </w:rPr>
        <w:t xml:space="preserve"> 7. Immigrants.</w:t>
      </w:r>
      <w:r>
        <w:t xml:space="preserve">  In the case of immigrant communities, culture may be one significant factor explaining the disparate impacts from disasters.  Education</w:t>
      </w:r>
      <w:r w:rsidR="00F24ED1">
        <w:t xml:space="preserve"> </w:t>
      </w:r>
      <w:r>
        <w:t xml:space="preserve">language barriers might also contribute to risks, along with a number of other factors indicated in this note (e.g., distrust of banks or lawyers).  </w:t>
      </w:r>
    </w:p>
    <w:p w14:paraId="5B2AB480" w14:textId="77777777" w:rsidR="0070589C" w:rsidRDefault="0070589C" w:rsidP="0070589C">
      <w:pPr>
        <w:pStyle w:val="BodyText"/>
        <w:kinsoku w:val="0"/>
        <w:overflowPunct w:val="0"/>
        <w:ind w:right="897"/>
        <w:jc w:val="both"/>
      </w:pPr>
    </w:p>
    <w:p w14:paraId="105B78A1" w14:textId="77777777" w:rsidR="0070589C" w:rsidRDefault="0070589C" w:rsidP="0070589C">
      <w:pPr>
        <w:pStyle w:val="BodyText"/>
        <w:kinsoku w:val="0"/>
        <w:overflowPunct w:val="0"/>
        <w:ind w:right="540"/>
        <w:jc w:val="both"/>
      </w:pPr>
      <w:r>
        <w:tab/>
        <w:t xml:space="preserve">Disaster impacts on undocumented immigrants present particularly challenging concerns.  Students (and future lawyers) should understand that undocumented persons do have rights to some forms of disaster assistance.  However, given understandable concerns around engaging with federal agencies, students may be encouraged to brainstorm solutions, including reliance upon trusted advocates and intermediaries. </w:t>
      </w:r>
    </w:p>
    <w:p w14:paraId="202F8212" w14:textId="77777777" w:rsidR="0070589C" w:rsidRDefault="0070589C" w:rsidP="0070589C">
      <w:pPr>
        <w:pStyle w:val="BodyText"/>
        <w:kinsoku w:val="0"/>
        <w:overflowPunct w:val="0"/>
        <w:ind w:right="897"/>
        <w:jc w:val="both"/>
      </w:pPr>
    </w:p>
    <w:p w14:paraId="599DAE40" w14:textId="77777777" w:rsidR="0070589C" w:rsidRPr="002C1F94" w:rsidRDefault="0070589C" w:rsidP="0070589C">
      <w:pPr>
        <w:pStyle w:val="BodyText"/>
        <w:kinsoku w:val="0"/>
        <w:overflowPunct w:val="0"/>
        <w:ind w:right="897"/>
        <w:jc w:val="both"/>
        <w:rPr>
          <w:b/>
        </w:rPr>
      </w:pPr>
      <w:r>
        <w:rPr>
          <w:b/>
        </w:rPr>
        <w:t>2.  Resilience</w:t>
      </w:r>
      <w:r w:rsidRPr="002C1F94">
        <w:rPr>
          <w:b/>
        </w:rPr>
        <w:t xml:space="preserve">.  </w:t>
      </w:r>
    </w:p>
    <w:p w14:paraId="1132B28E" w14:textId="77777777" w:rsidR="0070589C" w:rsidRDefault="0070589C" w:rsidP="0070589C">
      <w:pPr>
        <w:pStyle w:val="BodyText"/>
        <w:kinsoku w:val="0"/>
        <w:overflowPunct w:val="0"/>
        <w:ind w:right="897" w:firstLine="720"/>
        <w:jc w:val="both"/>
      </w:pPr>
    </w:p>
    <w:p w14:paraId="7F552B07" w14:textId="77777777" w:rsidR="00964C7E" w:rsidRDefault="006B172A" w:rsidP="0070589C">
      <w:pPr>
        <w:pStyle w:val="BodyText"/>
        <w:kinsoku w:val="0"/>
        <w:overflowPunct w:val="0"/>
        <w:ind w:right="540" w:firstLine="720"/>
        <w:jc w:val="both"/>
      </w:pPr>
      <w:r>
        <w:t xml:space="preserve">For a powerful and moving </w:t>
      </w:r>
      <w:r>
        <w:t xml:space="preserve">introduction to the concept of resilience </w:t>
      </w:r>
      <w:r>
        <w:t>in the context of</w:t>
      </w:r>
      <w:r w:rsidR="00964C7E">
        <w:t xml:space="preserve"> </w:t>
      </w:r>
      <w:r w:rsidR="00964C7E">
        <w:lastRenderedPageBreak/>
        <w:t>impacts from</w:t>
      </w:r>
      <w:r>
        <w:t xml:space="preserve"> Hurricane Katrina, instructors may consider providing an in-class screening of the TED Talk by Georgetown Professor (and Biden EPA appointee) Vicki Arroyo (2012) available on YouTube at </w:t>
      </w:r>
      <w:hyperlink r:id="rId72" w:history="1">
        <w:r w:rsidRPr="00557477">
          <w:rPr>
            <w:rStyle w:val="Hyperlink"/>
          </w:rPr>
          <w:t>https://www.youtube.com/watch?</w:t>
        </w:r>
        <w:r w:rsidRPr="00557477">
          <w:rPr>
            <w:rStyle w:val="Hyperlink"/>
          </w:rPr>
          <w:t>v</w:t>
        </w:r>
        <w:r w:rsidRPr="00557477">
          <w:rPr>
            <w:rStyle w:val="Hyperlink"/>
          </w:rPr>
          <w:t>=8Z24LCysq3A</w:t>
        </w:r>
      </w:hyperlink>
      <w:r>
        <w:t xml:space="preserve">. </w:t>
      </w:r>
    </w:p>
    <w:p w14:paraId="758F85C9" w14:textId="77777777" w:rsidR="00964C7E" w:rsidRDefault="00964C7E" w:rsidP="0070589C">
      <w:pPr>
        <w:pStyle w:val="BodyText"/>
        <w:kinsoku w:val="0"/>
        <w:overflowPunct w:val="0"/>
        <w:ind w:right="540" w:firstLine="720"/>
        <w:jc w:val="both"/>
      </w:pPr>
    </w:p>
    <w:p w14:paraId="04D49B06" w14:textId="345ACC77" w:rsidR="00537165" w:rsidRDefault="0070589C" w:rsidP="0070589C">
      <w:pPr>
        <w:pStyle w:val="BodyText"/>
        <w:kinsoku w:val="0"/>
        <w:overflowPunct w:val="0"/>
        <w:ind w:right="540" w:firstLine="720"/>
        <w:jc w:val="both"/>
      </w:pPr>
      <w:r>
        <w:t xml:space="preserve">Like vulnerability, resilience may be understood as having dimensions of </w:t>
      </w:r>
      <w:r w:rsidRPr="00DB37A9">
        <w:rPr>
          <w:i/>
        </w:rPr>
        <w:t>physical</w:t>
      </w:r>
      <w:r>
        <w:t xml:space="preserve"> resilience and </w:t>
      </w:r>
      <w:r w:rsidRPr="00DB37A9">
        <w:rPr>
          <w:i/>
        </w:rPr>
        <w:t>social</w:t>
      </w:r>
      <w:r>
        <w:t xml:space="preserve"> resilience.  The excerpt from Sidney Shapiro, part of a larger report by the Center for Progressive Reform, focuses on social resilience.  Works by the Georgetown Climate Center and the </w:t>
      </w:r>
      <w:r w:rsidR="00C37F49">
        <w:t xml:space="preserve">U.S. </w:t>
      </w:r>
      <w:r>
        <w:t xml:space="preserve">Department of Homeland Security </w:t>
      </w:r>
      <w:r w:rsidR="00C37F49">
        <w:t xml:space="preserve">under Obama and Biden </w:t>
      </w:r>
      <w:r>
        <w:t xml:space="preserve">also recognized these dimensions.  </w:t>
      </w:r>
      <w:r w:rsidR="00C4009A">
        <w:t>The Baseline Resilience Indicators for Communities</w:t>
      </w:r>
      <w:r w:rsidR="00B5096E">
        <w:t xml:space="preserve">, excerpted here, </w:t>
      </w:r>
      <w:r w:rsidR="00414A27">
        <w:t xml:space="preserve">reflected decades of empirical research by Susan Cutter and colleagues at the University of South Carolina. </w:t>
      </w:r>
      <w:r w:rsidR="00B14C03">
        <w:t xml:space="preserve">Note </w:t>
      </w:r>
      <w:r w:rsidR="00E41EDB">
        <w:t xml:space="preserve">that many of the factors </w:t>
      </w:r>
      <w:r w:rsidR="007B2A49">
        <w:t xml:space="preserve">represent measurable values that may contribute either positively or negatively toward community resilience.  For example, </w:t>
      </w:r>
      <w:r w:rsidR="00B47131">
        <w:t xml:space="preserve">local housing in mobile homes </w:t>
      </w:r>
      <w:r w:rsidR="004C54A3">
        <w:t xml:space="preserve">is a measurable value associated </w:t>
      </w:r>
      <w:r w:rsidR="00B47131">
        <w:t xml:space="preserve">negatively </w:t>
      </w:r>
      <w:r w:rsidR="004C54A3">
        <w:t xml:space="preserve">with social resilience.  Likewise, federal employment </w:t>
      </w:r>
      <w:r w:rsidR="00D81AF9">
        <w:t xml:space="preserve">correlates </w:t>
      </w:r>
      <w:r w:rsidR="004C54A3">
        <w:t>positively with economic resilience while employment in farming</w:t>
      </w:r>
      <w:r w:rsidR="007E72D2">
        <w:t xml:space="preserve">, </w:t>
      </w:r>
      <w:r w:rsidR="004C54A3">
        <w:t>fishing</w:t>
      </w:r>
      <w:r w:rsidR="007E72D2">
        <w:t>, and forestry</w:t>
      </w:r>
      <w:r w:rsidR="004C54A3">
        <w:t xml:space="preserve"> </w:t>
      </w:r>
      <w:r w:rsidR="00432C19">
        <w:t>correlate</w:t>
      </w:r>
      <w:r w:rsidR="00FF76BA">
        <w:t xml:space="preserve"> </w:t>
      </w:r>
      <w:r w:rsidR="004C54A3">
        <w:t xml:space="preserve">negatively.  </w:t>
      </w:r>
      <w:r w:rsidR="007E72D2">
        <w:t xml:space="preserve">Instructors </w:t>
      </w:r>
      <w:r w:rsidR="00D0356B">
        <w:t>may inspire discussion by asking students for</w:t>
      </w:r>
      <w:r w:rsidR="00D57814">
        <w:t xml:space="preserve"> their own best guesses</w:t>
      </w:r>
      <w:r w:rsidR="008A3A96">
        <w:t xml:space="preserve"> why the empirical data may support these outcome</w:t>
      </w:r>
      <w:r w:rsidR="001E0D7B">
        <w:t xml:space="preserve">s.  </w:t>
      </w:r>
      <w:r w:rsidR="00BB4FD3">
        <w:t>More than academic exercise, t</w:t>
      </w:r>
      <w:r w:rsidR="00475D17">
        <w:t xml:space="preserve">he BRIC factors significantly influenced FEMA’s development of the National Risk Index, discussed earlier.  </w:t>
      </w:r>
      <w:r w:rsidR="00FE676E">
        <w:t xml:space="preserve">Given </w:t>
      </w:r>
      <w:r w:rsidR="002E10A6">
        <w:t xml:space="preserve">the articulation of these factors here, students may wish to reflect on the results of the NRI </w:t>
      </w:r>
      <w:r w:rsidR="00537165">
        <w:t>research they may have conducted earlier – or the NRI exercise could be saved until after discussion of the BRIC factors presented here.</w:t>
      </w:r>
    </w:p>
    <w:p w14:paraId="7352CB68" w14:textId="77777777" w:rsidR="007E41CA" w:rsidRDefault="007E41CA" w:rsidP="0070589C">
      <w:pPr>
        <w:pStyle w:val="BodyText"/>
        <w:kinsoku w:val="0"/>
        <w:overflowPunct w:val="0"/>
        <w:ind w:right="540" w:firstLine="720"/>
        <w:jc w:val="both"/>
      </w:pPr>
    </w:p>
    <w:p w14:paraId="60F8BB3D" w14:textId="7A3F4696" w:rsidR="0070589C" w:rsidRDefault="0070589C" w:rsidP="0070589C">
      <w:pPr>
        <w:pStyle w:val="BodyText"/>
        <w:kinsoku w:val="0"/>
        <w:overflowPunct w:val="0"/>
        <w:ind w:right="540" w:firstLine="720"/>
        <w:jc w:val="both"/>
      </w:pPr>
    </w:p>
    <w:p w14:paraId="41340234" w14:textId="77777777" w:rsidR="0070589C" w:rsidRDefault="0070589C" w:rsidP="0070589C">
      <w:pPr>
        <w:pStyle w:val="BodyText"/>
        <w:kinsoku w:val="0"/>
        <w:overflowPunct w:val="0"/>
        <w:ind w:right="897"/>
        <w:jc w:val="both"/>
      </w:pPr>
    </w:p>
    <w:p w14:paraId="03456614" w14:textId="77777777" w:rsidR="0070589C" w:rsidRPr="00FE0F8C" w:rsidRDefault="0070589C" w:rsidP="0070589C">
      <w:pPr>
        <w:pStyle w:val="BodyText"/>
        <w:kinsoku w:val="0"/>
        <w:overflowPunct w:val="0"/>
        <w:ind w:right="897"/>
        <w:jc w:val="center"/>
        <w:rPr>
          <w:b/>
          <w:i/>
          <w:sz w:val="28"/>
          <w:szCs w:val="28"/>
        </w:rPr>
      </w:pPr>
      <w:r w:rsidRPr="00FE0F8C">
        <w:rPr>
          <w:b/>
          <w:i/>
          <w:sz w:val="28"/>
          <w:szCs w:val="28"/>
        </w:rPr>
        <w:t>Notes and Questions</w:t>
      </w:r>
    </w:p>
    <w:p w14:paraId="1869B0EF" w14:textId="77777777" w:rsidR="0070589C" w:rsidRDefault="0070589C" w:rsidP="0070589C">
      <w:pPr>
        <w:pStyle w:val="BodyText"/>
        <w:kinsoku w:val="0"/>
        <w:overflowPunct w:val="0"/>
        <w:ind w:right="897"/>
        <w:jc w:val="both"/>
      </w:pPr>
    </w:p>
    <w:p w14:paraId="29B585FD" w14:textId="77777777" w:rsidR="0070589C" w:rsidRDefault="0070589C" w:rsidP="0070589C">
      <w:pPr>
        <w:pStyle w:val="BodyText"/>
        <w:kinsoku w:val="0"/>
        <w:overflowPunct w:val="0"/>
        <w:ind w:right="540" w:firstLine="720"/>
        <w:jc w:val="both"/>
      </w:pPr>
      <w:r>
        <w:rPr>
          <w:b/>
        </w:rPr>
        <w:t xml:space="preserve">1.  </w:t>
      </w:r>
      <w:r w:rsidRPr="00FE0F8C">
        <w:rPr>
          <w:b/>
        </w:rPr>
        <w:t>“Engineering resilience” vs. “ecological resilience.”</w:t>
      </w:r>
      <w:r>
        <w:t xml:space="preserve"> The note here focuses on the concept of legal resilience; i.e., how to design a legal system to both withstand shocks and adapt to changes without losing an essential function.  The note uses the Deepwater Horizon spill of 2010 (notice:  not a “natural” disaster, but a disaster nonetheless) to illustrate the challenges.  “Engineering resilience” may be reflected in the strict liability scheme of the Oil Pollution Act of 1990.  Responding directly to the Exxon Valdez spill in 1989, “OPA 90” established a broad number of categories eligible for recovery as damages.  These categories included “subsistence use” and “profits and earnings capacity,” but could not possibly include every form of loss, such as the cultural loss experienced by the Vietnamese-American fishing community.  Using this context, students may debate the value of more specific categories for damages or less descriptive categories for damages.  In essence, do we want </w:t>
      </w:r>
      <w:r w:rsidRPr="00B2229C">
        <w:rPr>
          <w:i/>
        </w:rPr>
        <w:t>more</w:t>
      </w:r>
      <w:r>
        <w:t xml:space="preserve"> categories (“engineering resilience”) or more </w:t>
      </w:r>
      <w:r w:rsidRPr="00B2229C">
        <w:rPr>
          <w:i/>
        </w:rPr>
        <w:t>flexible</w:t>
      </w:r>
      <w:r>
        <w:t xml:space="preserve"> categories (“ecological resilience”)?</w:t>
      </w:r>
    </w:p>
    <w:p w14:paraId="33E1F821" w14:textId="77777777" w:rsidR="0070589C" w:rsidRDefault="0070589C" w:rsidP="0070589C">
      <w:pPr>
        <w:pStyle w:val="BodyText"/>
        <w:kinsoku w:val="0"/>
        <w:overflowPunct w:val="0"/>
        <w:ind w:right="897" w:firstLine="720"/>
        <w:jc w:val="both"/>
      </w:pPr>
    </w:p>
    <w:p w14:paraId="7EF8CCD2" w14:textId="0CE36F09" w:rsidR="0070589C" w:rsidRDefault="0070589C" w:rsidP="0070589C">
      <w:pPr>
        <w:pStyle w:val="BodyText"/>
        <w:kinsoku w:val="0"/>
        <w:overflowPunct w:val="0"/>
        <w:ind w:right="540" w:firstLine="720"/>
        <w:jc w:val="both"/>
      </w:pPr>
      <w:r w:rsidRPr="00B2229C">
        <w:rPr>
          <w:b/>
        </w:rPr>
        <w:t xml:space="preserve">2.  Social </w:t>
      </w:r>
      <w:r w:rsidR="008A29CE">
        <w:rPr>
          <w:b/>
        </w:rPr>
        <w:t>cohesio</w:t>
      </w:r>
      <w:r w:rsidR="0059587F">
        <w:rPr>
          <w:b/>
        </w:rPr>
        <w:t>n</w:t>
      </w:r>
      <w:r w:rsidRPr="00B2229C">
        <w:rPr>
          <w:b/>
        </w:rPr>
        <w:t>.</w:t>
      </w:r>
      <w:r>
        <w:t xml:space="preserve">  Social </w:t>
      </w:r>
      <w:r w:rsidR="0059587F">
        <w:t>cohesion</w:t>
      </w:r>
      <w:r w:rsidR="00113CC4">
        <w:t xml:space="preserve"> </w:t>
      </w:r>
      <w:r w:rsidR="0059587F">
        <w:t xml:space="preserve">is usually associated </w:t>
      </w:r>
      <w:r w:rsidR="00113CC4">
        <w:t xml:space="preserve">positively with social resilience, as indicated in the NAACP excerpt.  </w:t>
      </w:r>
      <w:r w:rsidR="00723373">
        <w:t xml:space="preserve">However, the note here, drawing </w:t>
      </w:r>
      <w:r w:rsidR="00280694">
        <w:t xml:space="preserve">from the COVID-19 experience, shows how social cohesion can actually prove </w:t>
      </w:r>
      <w:r w:rsidR="006F150A">
        <w:t xml:space="preserve">detrimental </w:t>
      </w:r>
      <w:r w:rsidR="004A475B">
        <w:t xml:space="preserve">where groupthink replaces </w:t>
      </w:r>
      <w:r w:rsidR="00AA39E9">
        <w:t xml:space="preserve">science and rational behavior.  On the other hand, the case study </w:t>
      </w:r>
      <w:r w:rsidR="00914CE0">
        <w:t xml:space="preserve">with the Hermit’s Peak/Calf Canyon Fire that closes this chapter will demonstrate how social cohesion </w:t>
      </w:r>
      <w:r w:rsidR="00396306">
        <w:t>in a tightknit community can truly save lives.</w:t>
      </w:r>
      <w:r>
        <w:t xml:space="preserve">  </w:t>
      </w:r>
    </w:p>
    <w:p w14:paraId="29D69564" w14:textId="77777777" w:rsidR="0070589C" w:rsidRDefault="0070589C" w:rsidP="0070589C">
      <w:pPr>
        <w:pStyle w:val="BodyText"/>
        <w:kinsoku w:val="0"/>
        <w:overflowPunct w:val="0"/>
        <w:ind w:right="897" w:firstLine="720"/>
        <w:jc w:val="both"/>
      </w:pPr>
    </w:p>
    <w:p w14:paraId="282DF5F8" w14:textId="684072BF" w:rsidR="0070589C" w:rsidRDefault="0070589C" w:rsidP="0070589C">
      <w:pPr>
        <w:pStyle w:val="BodyText"/>
        <w:kinsoku w:val="0"/>
        <w:overflowPunct w:val="0"/>
        <w:ind w:right="540" w:firstLine="720"/>
        <w:jc w:val="both"/>
      </w:pPr>
      <w:r w:rsidRPr="00C17274">
        <w:rPr>
          <w:b/>
        </w:rPr>
        <w:t xml:space="preserve">3.  </w:t>
      </w:r>
      <w:r w:rsidR="00865290">
        <w:rPr>
          <w:b/>
        </w:rPr>
        <w:t>Mental health</w:t>
      </w:r>
      <w:r w:rsidRPr="00C17274">
        <w:rPr>
          <w:b/>
        </w:rPr>
        <w:t>.</w:t>
      </w:r>
      <w:r>
        <w:t xml:space="preserve">  </w:t>
      </w:r>
      <w:r w:rsidR="00EC6850">
        <w:t xml:space="preserve">The long note here concerning </w:t>
      </w:r>
      <w:r w:rsidR="00F54364">
        <w:t xml:space="preserve">the influence of mental health on </w:t>
      </w:r>
      <w:r w:rsidR="00C11C90">
        <w:t xml:space="preserve">disaster </w:t>
      </w:r>
      <w:r w:rsidR="00F54364">
        <w:t xml:space="preserve">resilience is mostly self-explanatory.  </w:t>
      </w:r>
      <w:r w:rsidR="009E36ED">
        <w:t xml:space="preserve">Instructors should make sure, however, that  students appreciate the importance </w:t>
      </w:r>
      <w:r w:rsidR="00B4575E">
        <w:t>of good mental health for disaster victims and responders alike.  For law students</w:t>
      </w:r>
      <w:r w:rsidR="00E15630">
        <w:t xml:space="preserve"> and future lawyers</w:t>
      </w:r>
      <w:r w:rsidR="00B4575E">
        <w:t>, this may mean understanding how disasters</w:t>
      </w:r>
      <w:r w:rsidR="00A31322">
        <w:t xml:space="preserve"> can impact the </w:t>
      </w:r>
      <w:r w:rsidR="00E15630">
        <w:t xml:space="preserve">mental </w:t>
      </w:r>
      <w:r w:rsidR="00A31322">
        <w:t>health of clients</w:t>
      </w:r>
      <w:r w:rsidR="00E15630">
        <w:t xml:space="preserve"> and prospective clients.  This may also mean </w:t>
      </w:r>
      <w:r w:rsidR="00C275D2">
        <w:t>recognizing</w:t>
      </w:r>
      <w:r w:rsidR="007F764A">
        <w:t xml:space="preserve"> the potential for vicarious trauma</w:t>
      </w:r>
      <w:r w:rsidR="00C275D2">
        <w:t xml:space="preserve"> and identifying strategies for maintain their own mental health while working in strenuous situations.</w:t>
      </w:r>
    </w:p>
    <w:p w14:paraId="0642005E" w14:textId="77777777" w:rsidR="0070589C" w:rsidRDefault="0070589C" w:rsidP="0070589C">
      <w:pPr>
        <w:pStyle w:val="BodyText"/>
        <w:kinsoku w:val="0"/>
        <w:overflowPunct w:val="0"/>
        <w:ind w:right="897" w:firstLine="720"/>
        <w:jc w:val="both"/>
      </w:pPr>
    </w:p>
    <w:p w14:paraId="046DEC61" w14:textId="5C9CFAA6" w:rsidR="0070589C" w:rsidRPr="00CF1A22" w:rsidRDefault="0070589C" w:rsidP="0070589C">
      <w:pPr>
        <w:pStyle w:val="BodyText"/>
        <w:kinsoku w:val="0"/>
        <w:overflowPunct w:val="0"/>
        <w:ind w:right="540" w:firstLine="720"/>
        <w:jc w:val="both"/>
        <w:rPr>
          <w:bCs/>
        </w:rPr>
      </w:pPr>
      <w:r w:rsidRPr="00F921C4">
        <w:rPr>
          <w:b/>
        </w:rPr>
        <w:t xml:space="preserve">4.  </w:t>
      </w:r>
      <w:r w:rsidR="00490C08">
        <w:rPr>
          <w:b/>
        </w:rPr>
        <w:t xml:space="preserve">Older adults.  </w:t>
      </w:r>
      <w:r w:rsidR="00CF1A22">
        <w:rPr>
          <w:bCs/>
        </w:rPr>
        <w:t>The note here encourages students to think more deeply about the potential for disasters to impact</w:t>
      </w:r>
      <w:r w:rsidR="00B310A2">
        <w:rPr>
          <w:bCs/>
        </w:rPr>
        <w:t xml:space="preserve"> older adults disproportionately – and consider strategies for reducing such impacts.  </w:t>
      </w:r>
      <w:r w:rsidR="0022470F">
        <w:rPr>
          <w:bCs/>
        </w:rPr>
        <w:t xml:space="preserve">Students </w:t>
      </w:r>
      <w:r w:rsidR="00930553">
        <w:rPr>
          <w:bCs/>
        </w:rPr>
        <w:t xml:space="preserve">in the class may have their own aging parents or family members, and may be asked to identify strategies that they believe would help keep their loved ones safe.  For example, </w:t>
      </w:r>
      <w:r w:rsidR="00506A2A">
        <w:rPr>
          <w:bCs/>
        </w:rPr>
        <w:t>can their parents drive?  If not, how might they evacuate if ordered to do so?  Can they use a cell phone reliably for receiving emergency notifications</w:t>
      </w:r>
      <w:r w:rsidR="0084614A">
        <w:rPr>
          <w:bCs/>
        </w:rPr>
        <w:t xml:space="preserve"> or calling for help</w:t>
      </w:r>
      <w:r w:rsidR="00506A2A">
        <w:rPr>
          <w:bCs/>
        </w:rPr>
        <w:t>?  If not</w:t>
      </w:r>
      <w:r w:rsidR="00DA652F">
        <w:rPr>
          <w:bCs/>
        </w:rPr>
        <w:t xml:space="preserve">, </w:t>
      </w:r>
      <w:r w:rsidR="004D254C">
        <w:rPr>
          <w:bCs/>
        </w:rPr>
        <w:t>are there other forms of more reliable communication</w:t>
      </w:r>
      <w:r w:rsidR="00DA652F">
        <w:rPr>
          <w:bCs/>
        </w:rPr>
        <w:t>?</w:t>
      </w:r>
      <w:r w:rsidR="004D254C">
        <w:rPr>
          <w:bCs/>
        </w:rPr>
        <w:t xml:space="preserve">  Do they require regular medications?  </w:t>
      </w:r>
      <w:r w:rsidR="00F40B19">
        <w:rPr>
          <w:bCs/>
        </w:rPr>
        <w:t xml:space="preserve">Do those medications require refrigeration? </w:t>
      </w:r>
      <w:r w:rsidR="0091554E">
        <w:rPr>
          <w:bCs/>
        </w:rPr>
        <w:t>Emergency planning for older adults can save lives</w:t>
      </w:r>
      <w:r w:rsidR="003B3251">
        <w:rPr>
          <w:bCs/>
        </w:rPr>
        <w:t xml:space="preserve"> – if done right and in advance.</w:t>
      </w:r>
    </w:p>
    <w:p w14:paraId="0811F891" w14:textId="77777777" w:rsidR="0070589C" w:rsidRDefault="0070589C" w:rsidP="0070589C">
      <w:pPr>
        <w:pStyle w:val="ListParagraph"/>
        <w:jc w:val="both"/>
      </w:pPr>
    </w:p>
    <w:p w14:paraId="34799669" w14:textId="640218BF" w:rsidR="0070589C" w:rsidRPr="00BF5625" w:rsidRDefault="00647906" w:rsidP="002A7D44">
      <w:pPr>
        <w:pStyle w:val="BodyText"/>
        <w:kinsoku w:val="0"/>
        <w:overflowPunct w:val="0"/>
        <w:ind w:right="897" w:firstLine="360"/>
        <w:jc w:val="both"/>
        <w:rPr>
          <w:b/>
        </w:rPr>
      </w:pPr>
      <w:r>
        <w:rPr>
          <w:b/>
        </w:rPr>
        <w:t xml:space="preserve">C. </w:t>
      </w:r>
      <w:r w:rsidR="002A7D44">
        <w:rPr>
          <w:b/>
        </w:rPr>
        <w:tab/>
      </w:r>
      <w:r w:rsidR="0070589C">
        <w:rPr>
          <w:b/>
        </w:rPr>
        <w:t>Disaster Law Fundamentals</w:t>
      </w:r>
    </w:p>
    <w:p w14:paraId="378C1BC7" w14:textId="77777777" w:rsidR="0070589C" w:rsidRDefault="0070589C" w:rsidP="0070589C">
      <w:pPr>
        <w:pStyle w:val="BodyText"/>
        <w:kinsoku w:val="0"/>
        <w:overflowPunct w:val="0"/>
        <w:ind w:right="897"/>
        <w:jc w:val="both"/>
      </w:pPr>
    </w:p>
    <w:p w14:paraId="15126EC6" w14:textId="77777777" w:rsidR="0070589C" w:rsidRDefault="0070589C" w:rsidP="0070589C">
      <w:pPr>
        <w:pStyle w:val="BodyText"/>
        <w:kinsoku w:val="0"/>
        <w:overflowPunct w:val="0"/>
        <w:ind w:right="540" w:firstLine="360"/>
        <w:jc w:val="both"/>
      </w:pPr>
      <w:r>
        <w:t xml:space="preserve">This part provides EJ advocates with some basic theory and law they may need in order to effectively assist communities impacted by disasters.   </w:t>
      </w:r>
    </w:p>
    <w:p w14:paraId="5E0E0150" w14:textId="77777777" w:rsidR="00155B4F" w:rsidRPr="00B532F0" w:rsidRDefault="00155B4F" w:rsidP="00647906">
      <w:pPr>
        <w:pStyle w:val="BodyText"/>
        <w:kinsoku w:val="0"/>
        <w:overflowPunct w:val="0"/>
        <w:ind w:right="540"/>
        <w:jc w:val="both"/>
      </w:pPr>
    </w:p>
    <w:p w14:paraId="60097A00" w14:textId="77777777" w:rsidR="00155B4F" w:rsidRPr="006A6AB4" w:rsidRDefault="00155B4F" w:rsidP="00155B4F">
      <w:pPr>
        <w:pStyle w:val="BodyText"/>
        <w:numPr>
          <w:ilvl w:val="0"/>
          <w:numId w:val="41"/>
        </w:numPr>
        <w:kinsoku w:val="0"/>
        <w:overflowPunct w:val="0"/>
        <w:ind w:right="897"/>
        <w:jc w:val="both"/>
        <w:rPr>
          <w:b/>
        </w:rPr>
      </w:pPr>
      <w:r>
        <w:rPr>
          <w:b/>
        </w:rPr>
        <w:t>The Disaster Cycle</w:t>
      </w:r>
    </w:p>
    <w:p w14:paraId="669A2F6F" w14:textId="77777777" w:rsidR="00155B4F" w:rsidRDefault="00155B4F" w:rsidP="00155B4F">
      <w:pPr>
        <w:pStyle w:val="BodyText"/>
        <w:kinsoku w:val="0"/>
        <w:overflowPunct w:val="0"/>
        <w:ind w:right="897"/>
        <w:jc w:val="both"/>
      </w:pPr>
    </w:p>
    <w:p w14:paraId="441AA292" w14:textId="64E0C6F7" w:rsidR="00155B4F" w:rsidRDefault="00155B4F" w:rsidP="00155B4F">
      <w:pPr>
        <w:pStyle w:val="BodyText"/>
        <w:kinsoku w:val="0"/>
        <w:overflowPunct w:val="0"/>
        <w:ind w:right="540" w:firstLine="360"/>
        <w:jc w:val="both"/>
      </w:pPr>
      <w:r>
        <w:t xml:space="preserve">This section begins with the “disaster cycle,” which provides a unifying theory for Disaster Law and may be essential for community advocates to comprehend at some level in order to engage most effectively with public agencies in times of disaster.  The precise elements of the disaster cycle may be defined </w:t>
      </w:r>
      <w:r w:rsidR="002A7D44">
        <w:t xml:space="preserve">variously </w:t>
      </w:r>
      <w:r>
        <w:t xml:space="preserve">in government documents and academic literature, but can be fairly summarized as consisting of three overlapping stages, Readiness, Response, and Recovery, as described briefly in this section.  </w:t>
      </w:r>
    </w:p>
    <w:p w14:paraId="4CDB8E6F" w14:textId="77777777" w:rsidR="00155B4F" w:rsidRDefault="00155B4F" w:rsidP="00155B4F">
      <w:pPr>
        <w:pStyle w:val="BodyText"/>
        <w:kinsoku w:val="0"/>
        <w:overflowPunct w:val="0"/>
        <w:ind w:right="897" w:firstLine="360"/>
        <w:jc w:val="both"/>
      </w:pPr>
    </w:p>
    <w:p w14:paraId="1DF41889" w14:textId="77777777" w:rsidR="00155B4F" w:rsidRDefault="00155B4F" w:rsidP="00155B4F">
      <w:pPr>
        <w:pStyle w:val="BodyText"/>
        <w:kinsoku w:val="0"/>
        <w:overflowPunct w:val="0"/>
        <w:ind w:right="540" w:firstLine="360"/>
        <w:jc w:val="both"/>
      </w:pPr>
      <w:r>
        <w:t xml:space="preserve">To further student engagement with the disaster cycle and other principles of Disaster Justice, instructors may consider running an in-class disaster simulation. An example of such an exercise is provided as an Appendix to this chapter of the Teacher’s Manual.  The exercise may be easily adapted to any populated area that sits along a river or waterway and could be vulnerable to flooding or the breach of an upstream dam.  With further adaptation, the exercise could be used to simulate almost any kind of disaster (e.g., fire, flood, or hurricane) where some notice (days or hours) may be given in advance.  </w:t>
      </w:r>
    </w:p>
    <w:p w14:paraId="385DFBF0" w14:textId="77777777" w:rsidR="00155B4F" w:rsidRDefault="00155B4F" w:rsidP="00155B4F">
      <w:pPr>
        <w:pStyle w:val="BodyText"/>
        <w:kinsoku w:val="0"/>
        <w:overflowPunct w:val="0"/>
        <w:ind w:right="897" w:firstLine="360"/>
        <w:jc w:val="both"/>
      </w:pPr>
    </w:p>
    <w:p w14:paraId="0896FA8F" w14:textId="77777777" w:rsidR="00155B4F" w:rsidRDefault="00155B4F" w:rsidP="00155B4F">
      <w:pPr>
        <w:pStyle w:val="BodyText"/>
        <w:kinsoku w:val="0"/>
        <w:overflowPunct w:val="0"/>
        <w:ind w:right="540" w:firstLine="360"/>
        <w:jc w:val="both"/>
      </w:pPr>
      <w:r>
        <w:t xml:space="preserve">One key may be devising the exercise as geographically specific and realistic as possible, so that students during the course of the simulation discover actual planning documents anticipating the scenario and providing critical guidance.  For example, with the scenario given in the Appendix, students discovered plans specifically estimating the time it would take for floodwaters from Cochiti Dam to reach the City of Albuquerque, and a list of </w:t>
      </w:r>
      <w:r>
        <w:lastRenderedPageBreak/>
        <w:t xml:space="preserve">communities in between that would likely be inundated.  </w:t>
      </w:r>
    </w:p>
    <w:p w14:paraId="231707A8" w14:textId="77777777" w:rsidR="00155B4F" w:rsidRDefault="00155B4F" w:rsidP="00155B4F">
      <w:pPr>
        <w:pStyle w:val="BodyText"/>
        <w:kinsoku w:val="0"/>
        <w:overflowPunct w:val="0"/>
        <w:ind w:right="897" w:firstLine="360"/>
        <w:jc w:val="both"/>
      </w:pPr>
    </w:p>
    <w:p w14:paraId="458D8B5A" w14:textId="77777777" w:rsidR="00155B4F" w:rsidRDefault="00155B4F" w:rsidP="00155B4F">
      <w:pPr>
        <w:pStyle w:val="BodyText"/>
        <w:kinsoku w:val="0"/>
        <w:overflowPunct w:val="0"/>
        <w:ind w:right="540" w:firstLine="360"/>
        <w:jc w:val="both"/>
      </w:pPr>
      <w:r>
        <w:t>The disaster cycle framework of Readiness, Response, and Recovery presents a natural structure for dividing students into three groups, with each group assigned to focus on one of these three elements.  In the classroom, the three groups may be directed toward different corners of the room to discuss and respond to the prompts.  In March 2020, during COVID-19 quarantine, students participated in this exercise effectively using Zoom breakout rooms.  Importantly, students from different groups should be encouraged to communicate across groups (sending liaisons, as it were) to emphasize the need for coordinated responses.</w:t>
      </w:r>
    </w:p>
    <w:p w14:paraId="6227D4EF" w14:textId="77777777" w:rsidR="00155B4F" w:rsidRDefault="00155B4F" w:rsidP="00155B4F">
      <w:pPr>
        <w:pStyle w:val="BodyText"/>
        <w:kinsoku w:val="0"/>
        <w:overflowPunct w:val="0"/>
        <w:ind w:right="897" w:firstLine="360"/>
        <w:jc w:val="both"/>
      </w:pPr>
    </w:p>
    <w:p w14:paraId="2D20BB7A" w14:textId="705B81AA" w:rsidR="00155B4F" w:rsidRDefault="00155B4F" w:rsidP="00155B4F">
      <w:pPr>
        <w:pStyle w:val="BodyText"/>
        <w:kinsoku w:val="0"/>
        <w:overflowPunct w:val="0"/>
        <w:ind w:right="540" w:firstLine="360"/>
        <w:jc w:val="both"/>
      </w:pPr>
      <w:r>
        <w:t xml:space="preserve">As students work through the simulation under time pressure, they should keep in mind the environmental justice pillars of </w:t>
      </w:r>
      <w:r w:rsidRPr="00DF28D1">
        <w:rPr>
          <w:b/>
        </w:rPr>
        <w:t>fair treatment</w:t>
      </w:r>
      <w:r>
        <w:t xml:space="preserve"> and </w:t>
      </w:r>
      <w:r w:rsidRPr="00DF28D1">
        <w:rPr>
          <w:b/>
        </w:rPr>
        <w:t>meaningful involvement</w:t>
      </w:r>
      <w:r>
        <w:t xml:space="preserve">.  They should continue to think critically about ensuring protection for vulnerable and underserved populations.  For example, how will they deliver critical warnings to rural residents who may lack access to Internet or cell phone service?  How will they know which languages they need to use for warnings?  How will they provide for evacuation of schools, prisons, </w:t>
      </w:r>
      <w:r w:rsidR="006B3A71">
        <w:t>assisted care facilitie</w:t>
      </w:r>
      <w:r>
        <w:t xml:space="preserve">s, or </w:t>
      </w:r>
      <w:r w:rsidR="006B3A71">
        <w:t>I</w:t>
      </w:r>
      <w:r>
        <w:t xml:space="preserve">ndigenous communities?  Where will evacuees be sheltered?  Do religious accommodations need to be observed in providing food and shelter?  Can families be sheltered together?  Will immigrant communities feel threatened (or actually be threatened) by immigration agencies?  Can or should local police or the National Guard be used to assist with an evacuation?  </w:t>
      </w:r>
    </w:p>
    <w:p w14:paraId="5BC50B50" w14:textId="77777777" w:rsidR="00155B4F" w:rsidRDefault="00155B4F" w:rsidP="00155B4F">
      <w:pPr>
        <w:pStyle w:val="BodyText"/>
        <w:kinsoku w:val="0"/>
        <w:overflowPunct w:val="0"/>
        <w:ind w:right="897" w:firstLine="360"/>
        <w:jc w:val="both"/>
      </w:pPr>
    </w:p>
    <w:p w14:paraId="7F304E5C" w14:textId="314FEDA8" w:rsidR="0070589C" w:rsidRDefault="00155B4F" w:rsidP="00155B4F">
      <w:pPr>
        <w:pStyle w:val="BodyText"/>
        <w:kinsoku w:val="0"/>
        <w:overflowPunct w:val="0"/>
        <w:ind w:right="897"/>
        <w:jc w:val="both"/>
        <w:rPr>
          <w:b/>
        </w:rPr>
      </w:pPr>
      <w:r>
        <w:t>This may be a lot of work for 60 minutes (or any other allotted time), but not all questions need to be answered.  Part of the learning objective is to get students thinking about these questions ahead of an actual disaster and thinking how they may begin to address these questions, whether they represent government (federal, state, local, or tribal), an NGO (e.g., Red Cross, faith-based organization, or neighborhood association), or a private party.</w:t>
      </w:r>
    </w:p>
    <w:p w14:paraId="3BCA6ECD" w14:textId="77777777" w:rsidR="00155B4F" w:rsidRDefault="00155B4F" w:rsidP="0070589C">
      <w:pPr>
        <w:pStyle w:val="BodyText"/>
        <w:kinsoku w:val="0"/>
        <w:overflowPunct w:val="0"/>
        <w:ind w:right="897"/>
        <w:jc w:val="both"/>
        <w:rPr>
          <w:b/>
        </w:rPr>
      </w:pPr>
    </w:p>
    <w:p w14:paraId="7B3B149B" w14:textId="1B590A6D" w:rsidR="0070589C" w:rsidRDefault="00751A77" w:rsidP="0070589C">
      <w:pPr>
        <w:pStyle w:val="BodyText"/>
        <w:kinsoku w:val="0"/>
        <w:overflowPunct w:val="0"/>
        <w:ind w:right="897"/>
        <w:jc w:val="both"/>
        <w:rPr>
          <w:b/>
        </w:rPr>
      </w:pPr>
      <w:r>
        <w:rPr>
          <w:b/>
        </w:rPr>
        <w:t>2</w:t>
      </w:r>
      <w:r w:rsidR="0070589C">
        <w:rPr>
          <w:b/>
        </w:rPr>
        <w:t>.  Disaster Law</w:t>
      </w:r>
    </w:p>
    <w:p w14:paraId="249281CF" w14:textId="77777777" w:rsidR="0070589C" w:rsidRDefault="0070589C" w:rsidP="0070589C">
      <w:pPr>
        <w:pStyle w:val="BodyText"/>
        <w:kinsoku w:val="0"/>
        <w:overflowPunct w:val="0"/>
        <w:ind w:right="897"/>
        <w:jc w:val="both"/>
        <w:rPr>
          <w:b/>
        </w:rPr>
      </w:pPr>
    </w:p>
    <w:p w14:paraId="238AB3A6" w14:textId="77777777" w:rsidR="0070589C" w:rsidRPr="00D143E5" w:rsidRDefault="0070589C" w:rsidP="0070589C">
      <w:pPr>
        <w:pStyle w:val="BodyText"/>
        <w:kinsoku w:val="0"/>
        <w:overflowPunct w:val="0"/>
        <w:ind w:right="540" w:firstLine="360"/>
        <w:jc w:val="both"/>
        <w:rPr>
          <w:b/>
        </w:rPr>
      </w:pPr>
      <w:r>
        <w:t xml:space="preserve">This section begins with selected excerpts from the Stafford Act.  These excerpts are provided mostly as reference materials for practitioners but also provided to enable students to answer the questions that follow.  </w:t>
      </w:r>
    </w:p>
    <w:p w14:paraId="1B1AABCB" w14:textId="77777777" w:rsidR="0070589C" w:rsidRDefault="0070589C" w:rsidP="0070589C">
      <w:pPr>
        <w:pStyle w:val="BodyText"/>
        <w:kinsoku w:val="0"/>
        <w:overflowPunct w:val="0"/>
        <w:ind w:right="897"/>
        <w:jc w:val="both"/>
      </w:pPr>
    </w:p>
    <w:p w14:paraId="693D3EF8" w14:textId="77777777" w:rsidR="0070589C" w:rsidRPr="00B44868" w:rsidRDefault="0070589C" w:rsidP="0070589C">
      <w:pPr>
        <w:pStyle w:val="BodyText"/>
        <w:kinsoku w:val="0"/>
        <w:overflowPunct w:val="0"/>
        <w:ind w:right="897"/>
        <w:jc w:val="center"/>
        <w:rPr>
          <w:b/>
          <w:i/>
          <w:sz w:val="28"/>
          <w:szCs w:val="28"/>
        </w:rPr>
      </w:pPr>
      <w:r w:rsidRPr="00B44868">
        <w:rPr>
          <w:b/>
          <w:i/>
          <w:sz w:val="28"/>
          <w:szCs w:val="28"/>
        </w:rPr>
        <w:t>Notes and Questions</w:t>
      </w:r>
    </w:p>
    <w:p w14:paraId="6DA5A115" w14:textId="77777777" w:rsidR="0070589C" w:rsidRDefault="0070589C" w:rsidP="0070589C">
      <w:pPr>
        <w:pStyle w:val="BodyText"/>
        <w:kinsoku w:val="0"/>
        <w:overflowPunct w:val="0"/>
        <w:ind w:right="897"/>
        <w:jc w:val="both"/>
      </w:pPr>
    </w:p>
    <w:p w14:paraId="06219F8A" w14:textId="77777777" w:rsidR="0070589C" w:rsidRDefault="0070589C" w:rsidP="0070589C">
      <w:pPr>
        <w:pStyle w:val="BodyText"/>
        <w:kinsoku w:val="0"/>
        <w:overflowPunct w:val="0"/>
        <w:ind w:right="540" w:firstLine="720"/>
        <w:jc w:val="both"/>
      </w:pPr>
      <w:r>
        <w:rPr>
          <w:b/>
        </w:rPr>
        <w:t xml:space="preserve">1.  Punctuated equilibrium. </w:t>
      </w:r>
      <w:r>
        <w:t xml:space="preserve"> This note is mostly self-explanatory.  The question at the end of the note, speculating on the “next major catastrophe” to strike the United States, was written just before the COVID-19 pandemic erupted and became the biggest catastrophe to strike the United States.  Congress responded by passing the Coronavirus Aid, Relief, and Economic Security (CARES) Act, signed into law on March 27, 2020, to provide a $2 trillion economic relief package for workers, families, and businesses, as well as financial assistance to state, local, and tribal governments.  So far, however, it does not appear that the CARES Act or other federal legislation has significantly altered the fundamental framework of disaster law as defined by the Stafford Act, although such changes may follow, consistent </w:t>
      </w:r>
      <w:r>
        <w:lastRenderedPageBreak/>
        <w:t xml:space="preserve">with the theory of punctuated equilibrium.  </w:t>
      </w:r>
    </w:p>
    <w:p w14:paraId="1877A244" w14:textId="77931A50" w:rsidR="00DF57AD" w:rsidRDefault="007D29E3" w:rsidP="0070589C">
      <w:pPr>
        <w:pStyle w:val="BodyText"/>
        <w:kinsoku w:val="0"/>
        <w:overflowPunct w:val="0"/>
        <w:ind w:right="540" w:firstLine="720"/>
        <w:jc w:val="both"/>
      </w:pPr>
      <w:r>
        <w:t xml:space="preserve">A more recent example of </w:t>
      </w:r>
      <w:r w:rsidR="006130AC">
        <w:t xml:space="preserve">a disaster inspiring progressive legislation may be seen through the Hermit’s Peak/Calf Canyon Fire case study </w:t>
      </w:r>
      <w:r w:rsidR="00E61AC2">
        <w:t xml:space="preserve">at the end of this chapter, where new legislation </w:t>
      </w:r>
      <w:r w:rsidR="008F3845">
        <w:t xml:space="preserve">specific to this disaster </w:t>
      </w:r>
      <w:r w:rsidR="00E61AC2">
        <w:t xml:space="preserve">allowed for new forms of disaster </w:t>
      </w:r>
      <w:r w:rsidR="0048666F">
        <w:t>assistance including compensation for lost subsistence resources.</w:t>
      </w:r>
    </w:p>
    <w:p w14:paraId="52F21CD1" w14:textId="77777777" w:rsidR="0070589C" w:rsidRDefault="0070589C" w:rsidP="0070589C">
      <w:pPr>
        <w:pStyle w:val="BodyText"/>
        <w:kinsoku w:val="0"/>
        <w:overflowPunct w:val="0"/>
        <w:ind w:right="897" w:firstLine="720"/>
        <w:jc w:val="both"/>
      </w:pPr>
    </w:p>
    <w:p w14:paraId="02A0364B" w14:textId="77777777" w:rsidR="000412FB" w:rsidRDefault="0070589C" w:rsidP="0070589C">
      <w:pPr>
        <w:pStyle w:val="BodyText"/>
        <w:kinsoku w:val="0"/>
        <w:overflowPunct w:val="0"/>
        <w:ind w:right="540" w:firstLine="720"/>
        <w:jc w:val="both"/>
      </w:pPr>
      <w:r w:rsidRPr="005C5C23">
        <w:rPr>
          <w:b/>
        </w:rPr>
        <w:t>2.  “Emergency” vs. “major disaster.”</w:t>
      </w:r>
      <w:r>
        <w:t xml:space="preserve">  In answering the first question, students should immediately see that the definition of “emergency” is far broader than “major disaster,” as emergency begins with “any occasion or instance” while “major disaster” begins with “any natural catastrophe.”  </w:t>
      </w:r>
    </w:p>
    <w:p w14:paraId="2D4853CC" w14:textId="561EF738" w:rsidR="0070589C" w:rsidRDefault="000412FB" w:rsidP="0070589C">
      <w:pPr>
        <w:pStyle w:val="BodyText"/>
        <w:kinsoku w:val="0"/>
        <w:overflowPunct w:val="0"/>
        <w:ind w:right="540" w:firstLine="720"/>
        <w:jc w:val="both"/>
      </w:pPr>
      <w:r>
        <w:t xml:space="preserve">a. </w:t>
      </w:r>
      <w:r w:rsidR="0070589C">
        <w:t xml:space="preserve">“Emergency” could (and did) certainly encompass drinking water contamination in Flint, Michigan.  However, it does not appear that “major disaster” would encompass the same, as the drinking water contamination was neither a “natural catastrophe” nor “regardless of cause, any fire, flood, or explosion.”  By the same reasoning, “major disaster” would not encompass the financial collapse of a local government.  </w:t>
      </w:r>
    </w:p>
    <w:p w14:paraId="5CF22E83" w14:textId="6B3C5E72" w:rsidR="000412FB" w:rsidRDefault="000412FB" w:rsidP="0070589C">
      <w:pPr>
        <w:pStyle w:val="BodyText"/>
        <w:kinsoku w:val="0"/>
        <w:overflowPunct w:val="0"/>
        <w:ind w:right="540" w:firstLine="720"/>
        <w:jc w:val="both"/>
        <w:rPr>
          <w:bCs/>
        </w:rPr>
      </w:pPr>
      <w:r>
        <w:t>b.</w:t>
      </w:r>
      <w:r w:rsidR="0032296F">
        <w:t xml:space="preserve"> </w:t>
      </w:r>
      <w:r w:rsidR="00B753BA">
        <w:t>This scenario reflects the factual circumstances of the</w:t>
      </w:r>
      <w:r w:rsidR="00B22840">
        <w:t xml:space="preserve"> 2015 </w:t>
      </w:r>
      <w:r w:rsidR="00B753BA">
        <w:t>blowout of contaminated mine water from the Gold King Mine in southwestern Colorado, caused by EPA contract</w:t>
      </w:r>
      <w:r w:rsidR="00B22840">
        <w:t xml:space="preserve">ors investigating the mine for potential remediation.  </w:t>
      </w:r>
      <w:r w:rsidR="0032296F">
        <w:t xml:space="preserve">The blowout did lead to emergency declarations, but not under the Stafford Act.  Instead, EPA declared an emergency under CERCLA, allowing the Agency to </w:t>
      </w:r>
      <w:r w:rsidR="008430FA">
        <w:t xml:space="preserve">exceed presumptive limitations on funding for the response.  </w:t>
      </w:r>
      <w:r w:rsidR="004E3A68">
        <w:t xml:space="preserve">At the same time, the federal </w:t>
      </w:r>
      <w:r w:rsidR="00082D1F">
        <w:t xml:space="preserve">government rejected requests for a </w:t>
      </w:r>
      <w:r w:rsidR="00642D97">
        <w:t>“</w:t>
      </w:r>
      <w:r w:rsidR="00082D1F">
        <w:t>major disaster</w:t>
      </w:r>
      <w:r w:rsidR="00642D97">
        <w:t>”</w:t>
      </w:r>
      <w:r w:rsidR="00082D1F">
        <w:t xml:space="preserve"> declaration under the Stafford Act, as </w:t>
      </w:r>
      <w:r w:rsidR="00CE4333">
        <w:t xml:space="preserve">funding under the Stafford Act was not needed given the </w:t>
      </w:r>
      <w:r w:rsidR="00CE4333" w:rsidRPr="00632F28">
        <w:t xml:space="preserve">availability of funding and liability under CERCLA.  For deeper analysis of this case, see Clifford J. Villa, </w:t>
      </w:r>
      <w:r w:rsidR="00632F28" w:rsidRPr="00632F28">
        <w:rPr>
          <w:bCs/>
          <w:i/>
        </w:rPr>
        <w:t>Gold King Mine Spill:  Environmental Law and Legal Protections for Environmental Responders,</w:t>
      </w:r>
      <w:r w:rsidR="00632F28" w:rsidRPr="00632F28">
        <w:rPr>
          <w:bCs/>
        </w:rPr>
        <w:t xml:space="preserve"> 2019 </w:t>
      </w:r>
      <w:r w:rsidR="00632F28" w:rsidRPr="00632F28">
        <w:rPr>
          <w:bCs/>
          <w:smallCaps/>
        </w:rPr>
        <w:t>Utah L. Rev. 263</w:t>
      </w:r>
      <w:r w:rsidR="00632F28" w:rsidRPr="00632F28">
        <w:rPr>
          <w:bCs/>
        </w:rPr>
        <w:t xml:space="preserve"> (2019).</w:t>
      </w:r>
    </w:p>
    <w:p w14:paraId="0629FA93" w14:textId="5A41F644" w:rsidR="00B34193" w:rsidRDefault="00B34193" w:rsidP="0070589C">
      <w:pPr>
        <w:pStyle w:val="BodyText"/>
        <w:kinsoku w:val="0"/>
        <w:overflowPunct w:val="0"/>
        <w:ind w:right="540" w:firstLine="720"/>
        <w:jc w:val="both"/>
        <w:rPr>
          <w:bCs/>
        </w:rPr>
      </w:pPr>
      <w:r>
        <w:rPr>
          <w:bCs/>
        </w:rPr>
        <w:t>c.  Th</w:t>
      </w:r>
      <w:r w:rsidR="00D01CF7">
        <w:rPr>
          <w:bCs/>
        </w:rPr>
        <w:t>is</w:t>
      </w:r>
      <w:r>
        <w:rPr>
          <w:bCs/>
        </w:rPr>
        <w:t xml:space="preserve"> scenario reflects the factual circumstances of the train derailment in East Palestine, Ohio, explored in depth in Chapter 7. </w:t>
      </w:r>
      <w:r w:rsidR="0016787D">
        <w:rPr>
          <w:bCs/>
        </w:rPr>
        <w:t xml:space="preserve"> As with the Gold King Mine spill, EPA declared an emergency under CERCLA and the federal government denied </w:t>
      </w:r>
      <w:r w:rsidR="00642D97">
        <w:rPr>
          <w:bCs/>
        </w:rPr>
        <w:t>requests for declaring a “major disaster” under the Stafford Act.  Particularly relevant here was the availability of a private entity</w:t>
      </w:r>
      <w:r w:rsidR="00854408">
        <w:rPr>
          <w:bCs/>
        </w:rPr>
        <w:t xml:space="preserve"> with significant financial assets</w:t>
      </w:r>
      <w:r w:rsidR="00642D97">
        <w:rPr>
          <w:bCs/>
        </w:rPr>
        <w:t>, Norfolk Southern Rail</w:t>
      </w:r>
      <w:r w:rsidR="00C9004B">
        <w:rPr>
          <w:bCs/>
        </w:rPr>
        <w:t>way</w:t>
      </w:r>
      <w:r w:rsidR="00642D97">
        <w:rPr>
          <w:bCs/>
        </w:rPr>
        <w:t xml:space="preserve">, which </w:t>
      </w:r>
      <w:r w:rsidR="007E3352">
        <w:rPr>
          <w:bCs/>
        </w:rPr>
        <w:t xml:space="preserve">remained liable for cleanup costs under CERCLA and the Clean Water Act, and subject to </w:t>
      </w:r>
      <w:r w:rsidR="00C9004B">
        <w:rPr>
          <w:bCs/>
        </w:rPr>
        <w:t>tort liability for civil damages</w:t>
      </w:r>
      <w:r w:rsidR="0087450B">
        <w:rPr>
          <w:bCs/>
        </w:rPr>
        <w:t>.</w:t>
      </w:r>
    </w:p>
    <w:p w14:paraId="47153D8F" w14:textId="779C7A69" w:rsidR="0070589C" w:rsidRPr="00FF52C3" w:rsidRDefault="0087450B" w:rsidP="00D01CF7">
      <w:pPr>
        <w:pStyle w:val="BodyText"/>
        <w:kinsoku w:val="0"/>
        <w:overflowPunct w:val="0"/>
        <w:ind w:right="540" w:firstLine="720"/>
        <w:jc w:val="both"/>
        <w:rPr>
          <w:rFonts w:eastAsia="Times New Roman"/>
        </w:rPr>
      </w:pPr>
      <w:r>
        <w:rPr>
          <w:bCs/>
        </w:rPr>
        <w:t xml:space="preserve">d.  </w:t>
      </w:r>
      <w:r w:rsidR="00D01CF7">
        <w:rPr>
          <w:bCs/>
        </w:rPr>
        <w:t xml:space="preserve">This scenario, of course, reflects the factual circumstances of the COVID-19 pandemic. </w:t>
      </w:r>
      <w:r w:rsidR="0044164D">
        <w:rPr>
          <w:bCs/>
        </w:rPr>
        <w:t xml:space="preserve"> At the immediate start of the pandemic, </w:t>
      </w:r>
      <w:r w:rsidR="0070589C" w:rsidRPr="00FF52C3">
        <w:t>disaster law expert</w:t>
      </w:r>
      <w:r w:rsidR="001A365A">
        <w:t xml:space="preserve">s </w:t>
      </w:r>
      <w:r w:rsidR="0070589C" w:rsidRPr="00FF52C3">
        <w:t xml:space="preserve">speculated whether or not </w:t>
      </w:r>
      <w:r w:rsidR="001A365A">
        <w:t xml:space="preserve">a </w:t>
      </w:r>
      <w:r w:rsidR="0070589C" w:rsidRPr="00FF52C3">
        <w:t xml:space="preserve">pandemic could be declared a “major disaster” consistent with the Stafford Act.  </w:t>
      </w:r>
      <w:r w:rsidR="001A365A">
        <w:t xml:space="preserve">The </w:t>
      </w:r>
      <w:r w:rsidR="0070589C" w:rsidRPr="00FF52C3">
        <w:t xml:space="preserve">pandemic </w:t>
      </w:r>
      <w:r w:rsidR="001A365A">
        <w:t xml:space="preserve">was </w:t>
      </w:r>
      <w:r w:rsidR="0070589C" w:rsidRPr="00FF52C3">
        <w:t xml:space="preserve">certainly a “natural catastrophe,” but the long list of potential catastrophes in the definition of “major disaster” says not one word about “pandemic,” “epidemic,” “virus,” or “infection.”  Legal scholars may have prepared to engage in vigorous debate.  However, </w:t>
      </w:r>
      <w:r w:rsidR="00CE3D56">
        <w:t xml:space="preserve">any </w:t>
      </w:r>
      <w:r w:rsidR="0070589C" w:rsidRPr="00FF52C3">
        <w:t xml:space="preserve">opportunity for debate </w:t>
      </w:r>
      <w:r w:rsidR="0070589C">
        <w:t xml:space="preserve">ended </w:t>
      </w:r>
      <w:r w:rsidR="00CE3D56">
        <w:t xml:space="preserve">abruptly </w:t>
      </w:r>
      <w:r w:rsidR="0070589C" w:rsidRPr="00FF52C3">
        <w:t xml:space="preserve">on March 19, 2020, when the first COVID-19 major disaster declaration was issued, for the State of New York, followed immediately by declarations for California and Washington, and then eventually every state, territory, and many tribal nations.  </w:t>
      </w:r>
    </w:p>
    <w:p w14:paraId="14E777AF" w14:textId="77777777" w:rsidR="0070589C" w:rsidRDefault="0070589C" w:rsidP="0070589C">
      <w:pPr>
        <w:pStyle w:val="BodyText"/>
        <w:kinsoku w:val="0"/>
        <w:overflowPunct w:val="0"/>
        <w:ind w:right="897" w:firstLine="720"/>
        <w:jc w:val="both"/>
      </w:pPr>
    </w:p>
    <w:p w14:paraId="2CBB1234" w14:textId="73E0D904" w:rsidR="0070589C" w:rsidRDefault="0070589C" w:rsidP="00E80CBA">
      <w:pPr>
        <w:pStyle w:val="BodyText"/>
        <w:kinsoku w:val="0"/>
        <w:overflowPunct w:val="0"/>
        <w:ind w:right="540" w:firstLine="720"/>
        <w:jc w:val="both"/>
      </w:pPr>
      <w:r w:rsidRPr="00E063AB">
        <w:rPr>
          <w:b/>
        </w:rPr>
        <w:t xml:space="preserve">3.  Other “emergency” authorities.  </w:t>
      </w:r>
      <w:r>
        <w:t>This note serves as a</w:t>
      </w:r>
      <w:r w:rsidR="00271535">
        <w:t xml:space="preserve"> </w:t>
      </w:r>
      <w:r>
        <w:t xml:space="preserve">reminder that there are other statutory authorities besides the Stafford Act to address emergencies and disasters in the United States.  </w:t>
      </w:r>
      <w:r w:rsidR="00271535">
        <w:t xml:space="preserve">In 2025, </w:t>
      </w:r>
      <w:r w:rsidR="00E86C99">
        <w:t xml:space="preserve">President Trump </w:t>
      </w:r>
      <w:r w:rsidR="00271535">
        <w:t>ma</w:t>
      </w:r>
      <w:r w:rsidR="0063006F">
        <w:t>de</w:t>
      </w:r>
      <w:r w:rsidR="00271535">
        <w:t xml:space="preserve"> liberal use of such authorities, quickly </w:t>
      </w:r>
      <w:r w:rsidR="00271535">
        <w:lastRenderedPageBreak/>
        <w:t xml:space="preserve">declaring more </w:t>
      </w:r>
      <w:r w:rsidR="00065C62">
        <w:t xml:space="preserve">national </w:t>
      </w:r>
      <w:r w:rsidR="00C63B46">
        <w:t xml:space="preserve">emergencies than any other U.S. president in history. </w:t>
      </w:r>
      <w:r w:rsidR="005A547D">
        <w:t xml:space="preserve">Zachary Basu, </w:t>
      </w:r>
      <w:r w:rsidR="005A547D" w:rsidRPr="00A45B9A">
        <w:rPr>
          <w:i/>
          <w:iCs/>
        </w:rPr>
        <w:t>Trump’s United States of Emergency</w:t>
      </w:r>
      <w:r w:rsidR="005A547D">
        <w:t xml:space="preserve">, </w:t>
      </w:r>
      <w:r w:rsidR="005A547D" w:rsidRPr="00A45B9A">
        <w:rPr>
          <w:smallCaps/>
        </w:rPr>
        <w:t>Axios</w:t>
      </w:r>
      <w:r w:rsidR="005A547D">
        <w:t xml:space="preserve">, April 18, 2025, </w:t>
      </w:r>
      <w:hyperlink r:id="rId73" w:history="1">
        <w:r w:rsidR="00A45B9A" w:rsidRPr="00D748F2">
          <w:rPr>
            <w:rStyle w:val="Hyperlink"/>
          </w:rPr>
          <w:t>https://www.axios.com/2025/04/18/trump-national-emergency-declarations</w:t>
        </w:r>
      </w:hyperlink>
      <w:r w:rsidR="00A45B9A">
        <w:t xml:space="preserve">. </w:t>
      </w:r>
      <w:r w:rsidR="00C63B46">
        <w:t xml:space="preserve"> </w:t>
      </w:r>
      <w:r>
        <w:t xml:space="preserve">The note </w:t>
      </w:r>
      <w:r w:rsidR="001A2283">
        <w:t xml:space="preserve">describes statutory authorities particularly to address public health emergencies and environmental emergencies.  </w:t>
      </w:r>
      <w:r w:rsidR="00E163DE">
        <w:t xml:space="preserve">It concludes with </w:t>
      </w:r>
      <w:r w:rsidR="00EB78A1">
        <w:t xml:space="preserve">a question particularly concerning the </w:t>
      </w:r>
      <w:r w:rsidR="005C7B16">
        <w:t xml:space="preserve">Flint Water Crisis and </w:t>
      </w:r>
      <w:r w:rsidR="00EB78A1">
        <w:t xml:space="preserve">Gold King Mine spill, referenced obliquely as </w:t>
      </w:r>
      <w:r w:rsidR="005C7B16">
        <w:t>hypotheticals in the previous question</w:t>
      </w:r>
      <w:r w:rsidR="00E80CBA">
        <w:t>, with answers provided in this Teacher’s Manual, in the notes immediately above.</w:t>
      </w:r>
    </w:p>
    <w:p w14:paraId="1FB60F90" w14:textId="77777777" w:rsidR="0070589C" w:rsidRDefault="0070589C" w:rsidP="0070589C">
      <w:pPr>
        <w:pStyle w:val="BodyText"/>
        <w:kinsoku w:val="0"/>
        <w:overflowPunct w:val="0"/>
        <w:ind w:right="897"/>
        <w:jc w:val="both"/>
        <w:rPr>
          <w:b/>
        </w:rPr>
      </w:pPr>
    </w:p>
    <w:p w14:paraId="267FC368" w14:textId="77777777" w:rsidR="0070589C" w:rsidRDefault="0070589C" w:rsidP="0070589C">
      <w:pPr>
        <w:pStyle w:val="BodyText"/>
        <w:kinsoku w:val="0"/>
        <w:overflowPunct w:val="0"/>
        <w:ind w:right="540"/>
        <w:jc w:val="both"/>
      </w:pPr>
      <w:r w:rsidRPr="00A934C5">
        <w:rPr>
          <w:b/>
        </w:rPr>
        <w:tab/>
        <w:t>4.  Invitation only?</w:t>
      </w:r>
      <w:r>
        <w:t xml:space="preserve">  This important note could save lives.  After review of Stafford Act § 402, especially § 402(5) (“accelerated Federal assistance”), students should clearly see that the President has authority to act even, as explicitly stated in the statute, “in the absence of a specific request” from the affected state or tribe.  § 402 contrasts with § 403 in that the latter requests some cost share from states, often on the order of 25 percent.  See § 403(b).  The cost share requirement, which may be waived for tribes under § 401(c), may pose a significant deterrent to states for requesting disaster declarations.  Another deterrent may simply be pride and antipathy towards “the Feds,” regardless of impacts to the state’s citizenry.  </w:t>
      </w:r>
    </w:p>
    <w:p w14:paraId="0E783A2F" w14:textId="77777777" w:rsidR="0070589C" w:rsidRDefault="0070589C" w:rsidP="0070589C">
      <w:pPr>
        <w:pStyle w:val="BodyText"/>
        <w:kinsoku w:val="0"/>
        <w:overflowPunct w:val="0"/>
        <w:ind w:right="897"/>
        <w:jc w:val="both"/>
      </w:pPr>
    </w:p>
    <w:p w14:paraId="355CE8E7" w14:textId="7DB286C0" w:rsidR="0070589C" w:rsidRDefault="0070589C" w:rsidP="0070589C">
      <w:pPr>
        <w:pStyle w:val="BodyText"/>
        <w:kinsoku w:val="0"/>
        <w:overflowPunct w:val="0"/>
        <w:ind w:right="540"/>
        <w:jc w:val="both"/>
      </w:pPr>
      <w:r>
        <w:tab/>
      </w:r>
      <w:r w:rsidRPr="00573509">
        <w:rPr>
          <w:b/>
        </w:rPr>
        <w:t xml:space="preserve">5.  Public </w:t>
      </w:r>
      <w:r w:rsidR="00522259">
        <w:rPr>
          <w:b/>
        </w:rPr>
        <w:t>A</w:t>
      </w:r>
      <w:r w:rsidRPr="00573509">
        <w:rPr>
          <w:b/>
        </w:rPr>
        <w:t>ssistance.</w:t>
      </w:r>
      <w:r>
        <w:t xml:space="preserve">  This note is mostly self-explanatory. Instructors may note that this is often where billions of dollars are spent by FEMA and other agencies on disaster recovery.  As such, EJ advocates may remain vigilant to seek opportunities for meaningful involvement (or perhaps, </w:t>
      </w:r>
      <w:r w:rsidRPr="00192EE9">
        <w:rPr>
          <w:i/>
        </w:rPr>
        <w:t>any</w:t>
      </w:r>
      <w:r>
        <w:t xml:space="preserve"> community involvement) with planning and operations.  Among other things, FEMA public assistance may be used to build new schools and new public facilities, to replace old and decaying structures and perhaps to spark urban and rural development in underserved communities.</w:t>
      </w:r>
    </w:p>
    <w:p w14:paraId="485FB8DD" w14:textId="77777777" w:rsidR="0070589C" w:rsidRDefault="0070589C" w:rsidP="0070589C">
      <w:pPr>
        <w:pStyle w:val="BodyText"/>
        <w:kinsoku w:val="0"/>
        <w:overflowPunct w:val="0"/>
        <w:ind w:right="897"/>
        <w:jc w:val="both"/>
      </w:pPr>
    </w:p>
    <w:p w14:paraId="1B43D30D" w14:textId="77777777" w:rsidR="0070589C" w:rsidRDefault="0070589C" w:rsidP="0070589C">
      <w:pPr>
        <w:pStyle w:val="BodyText"/>
        <w:kinsoku w:val="0"/>
        <w:overflowPunct w:val="0"/>
        <w:ind w:right="540"/>
        <w:jc w:val="both"/>
      </w:pPr>
      <w:r>
        <w:tab/>
      </w:r>
      <w:r w:rsidRPr="00573509">
        <w:rPr>
          <w:b/>
        </w:rPr>
        <w:t>6.  Individuals and Households Program.</w:t>
      </w:r>
      <w:r>
        <w:t xml:space="preserve">  This note is self-explanatory too.  One important point to emphasize here is that the IHP, run by FEMA, will probably not provide enough funding for anyone to rebuild a home destroyed by a disaster.  Combinations of homeowner’s insurance and low-interest loans often become part of a package, along with contributions from the homeowner directly. </w:t>
      </w:r>
    </w:p>
    <w:p w14:paraId="14044842" w14:textId="77777777" w:rsidR="0070589C" w:rsidRDefault="0070589C" w:rsidP="0070589C">
      <w:pPr>
        <w:pStyle w:val="BodyText"/>
        <w:kinsoku w:val="0"/>
        <w:overflowPunct w:val="0"/>
        <w:ind w:right="897"/>
        <w:jc w:val="both"/>
      </w:pPr>
    </w:p>
    <w:p w14:paraId="0354B7BD" w14:textId="4D6A5F2F" w:rsidR="0070589C" w:rsidRDefault="0070589C" w:rsidP="0070589C">
      <w:pPr>
        <w:pStyle w:val="BodyText"/>
        <w:kinsoku w:val="0"/>
        <w:overflowPunct w:val="0"/>
        <w:ind w:right="540"/>
        <w:jc w:val="both"/>
      </w:pPr>
      <w:r>
        <w:tab/>
      </w:r>
      <w:r w:rsidRPr="00A278B0">
        <w:rPr>
          <w:b/>
        </w:rPr>
        <w:t>7.  Legal Services.</w:t>
      </w:r>
      <w:r>
        <w:t xml:space="preserve">  Consistent with this note, the ABA Young Lawyers Division is currently providing Disaster Legal Services </w:t>
      </w:r>
      <w:r w:rsidR="00FC6D79">
        <w:t>for disasters such as the L.A. Wildfires in 2025</w:t>
      </w:r>
      <w:r>
        <w:t>.  For a view of this work, see the following link:</w:t>
      </w:r>
      <w:r w:rsidR="003C0593">
        <w:t xml:space="preserve"> </w:t>
      </w:r>
      <w:hyperlink r:id="rId74" w:history="1">
        <w:r w:rsidR="003C0593" w:rsidRPr="00D748F2">
          <w:rPr>
            <w:rStyle w:val="Hyperlink"/>
          </w:rPr>
          <w:t>https://www.americanbar.org/groups/young_lawyers/about/initiatives/disaster-legal-services/</w:t>
        </w:r>
      </w:hyperlink>
      <w:r w:rsidR="003C0593">
        <w:t xml:space="preserve">. </w:t>
      </w:r>
    </w:p>
    <w:p w14:paraId="41EEE837" w14:textId="77777777" w:rsidR="0070589C" w:rsidRDefault="0070589C" w:rsidP="0070589C">
      <w:pPr>
        <w:pStyle w:val="BodyText"/>
        <w:kinsoku w:val="0"/>
        <w:overflowPunct w:val="0"/>
        <w:ind w:right="897"/>
        <w:jc w:val="both"/>
      </w:pPr>
    </w:p>
    <w:p w14:paraId="054F6AFD" w14:textId="77777777" w:rsidR="0070589C" w:rsidRDefault="0070589C" w:rsidP="0070589C">
      <w:pPr>
        <w:pStyle w:val="BodyText"/>
        <w:kinsoku w:val="0"/>
        <w:overflowPunct w:val="0"/>
        <w:ind w:right="540"/>
        <w:jc w:val="both"/>
      </w:pPr>
      <w:r>
        <w:tab/>
      </w:r>
      <w:r w:rsidRPr="00A278B0">
        <w:rPr>
          <w:b/>
        </w:rPr>
        <w:t>8.  Forward progress?</w:t>
      </w:r>
      <w:r>
        <w:t xml:space="preserve">  This note is mostly self-explanatory.  A question near the end notes the waiver of NEPA requirements for certain construction projects funded under the Stafford Act.  In answer to this question, there may be circumstances where EJ advocates would welcome relief from NEPA requirements.  Imagine a circumstance involving reconstruction of a bridge destroyed in an earthquake, severing access between a diverse residential community and its schools, workplaces, or health care facilities.  At the same time, environmental advocates have also observed the potential adverse effects of NEPA, for example, potentially frustrating the rapid development and deployment of renewable energy </w:t>
      </w:r>
      <w:r>
        <w:lastRenderedPageBreak/>
        <w:t xml:space="preserve">such as solar or wind farms.  </w:t>
      </w:r>
      <w:r w:rsidRPr="007D7185">
        <w:rPr>
          <w:i/>
        </w:rPr>
        <w:t>See, e.g.,</w:t>
      </w:r>
      <w:r w:rsidRPr="007D7185">
        <w:t xml:space="preserve"> JB Ruhl</w:t>
      </w:r>
      <w:r>
        <w:t xml:space="preserve"> &amp; James E. Salzman, </w:t>
      </w:r>
      <w:r w:rsidRPr="007D7185">
        <w:rPr>
          <w:i/>
          <w:iCs/>
        </w:rPr>
        <w:t>What Happens When the Green New Deal Meets the Old Green Laws</w:t>
      </w:r>
      <w:r>
        <w:t xml:space="preserve">, 44 </w:t>
      </w:r>
      <w:r w:rsidRPr="007D7185">
        <w:rPr>
          <w:smallCaps/>
        </w:rPr>
        <w:t>Vt. L. Rev.</w:t>
      </w:r>
      <w:r>
        <w:t xml:space="preserve"> 693 (2020).  </w:t>
      </w:r>
    </w:p>
    <w:p w14:paraId="52C819B1" w14:textId="77777777" w:rsidR="0070589C" w:rsidRDefault="0070589C" w:rsidP="0070589C">
      <w:pPr>
        <w:pStyle w:val="BodyText"/>
        <w:kinsoku w:val="0"/>
        <w:overflowPunct w:val="0"/>
        <w:ind w:right="897"/>
        <w:jc w:val="both"/>
      </w:pPr>
    </w:p>
    <w:p w14:paraId="618E7477" w14:textId="5A3B3560" w:rsidR="0070589C" w:rsidRDefault="0070589C" w:rsidP="0070589C">
      <w:pPr>
        <w:pStyle w:val="BodyText"/>
        <w:kinsoku w:val="0"/>
        <w:overflowPunct w:val="0"/>
        <w:ind w:right="540"/>
        <w:jc w:val="both"/>
      </w:pPr>
      <w:r>
        <w:tab/>
      </w:r>
      <w:r w:rsidRPr="00C26A0D">
        <w:rPr>
          <w:b/>
        </w:rPr>
        <w:t>9.  Predisaster Mitigation.</w:t>
      </w:r>
      <w:r>
        <w:t xml:space="preserve">  The concluding question may be a good opportunity for instructors to engage with students on some brainstorming for measures to</w:t>
      </w:r>
      <w:r w:rsidR="004F3F76">
        <w:t xml:space="preserve"> </w:t>
      </w:r>
      <w:r>
        <w:t xml:space="preserve">promote </w:t>
      </w:r>
      <w:r w:rsidR="004F3F76">
        <w:t xml:space="preserve">ecological </w:t>
      </w:r>
      <w:r>
        <w:t>resilience</w:t>
      </w:r>
      <w:r w:rsidR="004F3F76">
        <w:t xml:space="preserve">, mental health, and social cohesion </w:t>
      </w:r>
      <w:r>
        <w:t xml:space="preserve">in </w:t>
      </w:r>
      <w:r w:rsidR="004F3F76">
        <w:t xml:space="preserve">vulnerable </w:t>
      </w:r>
      <w:r>
        <w:t>communities.  Law students, graduate students, and undergraduates may all have great ideas here, particularly if given specific scenarios to consider.  Toward that end, instructors may ask students to consider any disaster with which they may have some local connection.  If any student still needs a prompt, have them consider –</w:t>
      </w:r>
    </w:p>
    <w:p w14:paraId="3116D8EA" w14:textId="77777777" w:rsidR="0070589C" w:rsidRDefault="0070589C" w:rsidP="0070589C">
      <w:pPr>
        <w:pStyle w:val="BodyText"/>
        <w:kinsoku w:val="0"/>
        <w:overflowPunct w:val="0"/>
        <w:ind w:right="897"/>
        <w:jc w:val="both"/>
      </w:pPr>
    </w:p>
    <w:p w14:paraId="548C611F" w14:textId="77777777" w:rsidR="0070589C" w:rsidRDefault="0070589C" w:rsidP="00307558">
      <w:pPr>
        <w:pStyle w:val="BodyText"/>
        <w:numPr>
          <w:ilvl w:val="0"/>
          <w:numId w:val="26"/>
        </w:numPr>
        <w:kinsoku w:val="0"/>
        <w:overflowPunct w:val="0"/>
        <w:ind w:right="897"/>
        <w:jc w:val="both"/>
      </w:pPr>
      <w:r>
        <w:t>Wildfires in the West</w:t>
      </w:r>
    </w:p>
    <w:p w14:paraId="2876D37B" w14:textId="77777777" w:rsidR="0070589C" w:rsidRDefault="0070589C" w:rsidP="00307558">
      <w:pPr>
        <w:pStyle w:val="BodyText"/>
        <w:numPr>
          <w:ilvl w:val="0"/>
          <w:numId w:val="26"/>
        </w:numPr>
        <w:kinsoku w:val="0"/>
        <w:overflowPunct w:val="0"/>
        <w:ind w:right="897"/>
        <w:jc w:val="both"/>
      </w:pPr>
      <w:r>
        <w:t>Flooding or tornadoes in the Midwest</w:t>
      </w:r>
    </w:p>
    <w:p w14:paraId="719BDAC4" w14:textId="77777777" w:rsidR="0070589C" w:rsidRDefault="0070589C" w:rsidP="00307558">
      <w:pPr>
        <w:pStyle w:val="BodyText"/>
        <w:numPr>
          <w:ilvl w:val="0"/>
          <w:numId w:val="26"/>
        </w:numPr>
        <w:kinsoku w:val="0"/>
        <w:overflowPunct w:val="0"/>
        <w:ind w:right="897"/>
        <w:jc w:val="both"/>
      </w:pPr>
      <w:r>
        <w:t>Winter storms in the Midwest or Northeast</w:t>
      </w:r>
    </w:p>
    <w:p w14:paraId="03247D2E" w14:textId="77777777" w:rsidR="0070589C" w:rsidRDefault="0070589C" w:rsidP="00307558">
      <w:pPr>
        <w:pStyle w:val="BodyText"/>
        <w:numPr>
          <w:ilvl w:val="0"/>
          <w:numId w:val="26"/>
        </w:numPr>
        <w:kinsoku w:val="0"/>
        <w:overflowPunct w:val="0"/>
        <w:ind w:right="897"/>
        <w:jc w:val="both"/>
      </w:pPr>
      <w:r>
        <w:t>Hurricanes on the Gulf Coast or Atlantic Coast</w:t>
      </w:r>
    </w:p>
    <w:p w14:paraId="29E2F773" w14:textId="77777777" w:rsidR="0070589C" w:rsidRDefault="0070589C" w:rsidP="00307558">
      <w:pPr>
        <w:pStyle w:val="BodyText"/>
        <w:numPr>
          <w:ilvl w:val="0"/>
          <w:numId w:val="26"/>
        </w:numPr>
        <w:kinsoku w:val="0"/>
        <w:overflowPunct w:val="0"/>
        <w:ind w:right="897"/>
        <w:jc w:val="both"/>
      </w:pPr>
      <w:r>
        <w:t>Drought in the Southwest</w:t>
      </w:r>
    </w:p>
    <w:p w14:paraId="033BB0EE" w14:textId="77777777" w:rsidR="0070589C" w:rsidRDefault="0070589C" w:rsidP="00307558">
      <w:pPr>
        <w:pStyle w:val="BodyText"/>
        <w:numPr>
          <w:ilvl w:val="0"/>
          <w:numId w:val="26"/>
        </w:numPr>
        <w:kinsoku w:val="0"/>
        <w:overflowPunct w:val="0"/>
        <w:ind w:right="897"/>
        <w:jc w:val="both"/>
      </w:pPr>
      <w:r>
        <w:t xml:space="preserve">The COVID-19 pandemic </w:t>
      </w:r>
    </w:p>
    <w:p w14:paraId="23FF3CC8" w14:textId="77777777" w:rsidR="0070589C" w:rsidRDefault="0070589C" w:rsidP="0070589C">
      <w:pPr>
        <w:pStyle w:val="BodyText"/>
        <w:kinsoku w:val="0"/>
        <w:overflowPunct w:val="0"/>
        <w:ind w:right="897"/>
        <w:jc w:val="both"/>
      </w:pPr>
    </w:p>
    <w:p w14:paraId="46E64C5A" w14:textId="0AF94A4F" w:rsidR="0070589C" w:rsidRDefault="0070589C" w:rsidP="00F02938">
      <w:pPr>
        <w:pStyle w:val="BodyText"/>
        <w:kinsoku w:val="0"/>
        <w:overflowPunct w:val="0"/>
        <w:ind w:right="540"/>
        <w:jc w:val="both"/>
      </w:pPr>
      <w:r>
        <w:t>Undergrad and graduate students may bring many different perspectives and suggestions for mitigation measures.  Law students, in particular, may be prompted to consider legal structures for minimizing harm and promoting recovery from disasters, perhaps drawing inspiration from JB Ruhl’s conceptions of “engineering resilience” and “ecological resilience.”</w:t>
      </w:r>
    </w:p>
    <w:p w14:paraId="5E2AE57B" w14:textId="1CE18771" w:rsidR="0070589C" w:rsidRDefault="0070589C" w:rsidP="00BE4DD2">
      <w:pPr>
        <w:pStyle w:val="BodyText"/>
        <w:kinsoku w:val="0"/>
        <w:overflowPunct w:val="0"/>
        <w:ind w:right="540" w:firstLine="360"/>
        <w:jc w:val="both"/>
      </w:pPr>
      <w:r>
        <w:t xml:space="preserve"> </w:t>
      </w:r>
    </w:p>
    <w:p w14:paraId="2EB28669" w14:textId="40011CDF" w:rsidR="0070589C" w:rsidRPr="00ED085B" w:rsidRDefault="0070589C" w:rsidP="00647906">
      <w:pPr>
        <w:pStyle w:val="BodyText"/>
        <w:numPr>
          <w:ilvl w:val="0"/>
          <w:numId w:val="10"/>
        </w:numPr>
        <w:kinsoku w:val="0"/>
        <w:overflowPunct w:val="0"/>
        <w:ind w:right="897"/>
        <w:jc w:val="both"/>
        <w:rPr>
          <w:b/>
        </w:rPr>
      </w:pPr>
      <w:r w:rsidRPr="00ED085B">
        <w:rPr>
          <w:b/>
        </w:rPr>
        <w:t xml:space="preserve"> Disaster Justice in Practice</w:t>
      </w:r>
      <w:r w:rsidR="00BE4DD2">
        <w:rPr>
          <w:b/>
        </w:rPr>
        <w:t>:  New Mexico’s Hermit’s Peak/Calf Canyon Fire</w:t>
      </w:r>
    </w:p>
    <w:p w14:paraId="11DB451C" w14:textId="77777777" w:rsidR="0070589C" w:rsidRDefault="0070589C" w:rsidP="0070589C">
      <w:pPr>
        <w:pStyle w:val="BodyText"/>
        <w:kinsoku w:val="0"/>
        <w:overflowPunct w:val="0"/>
        <w:ind w:left="720" w:right="897"/>
        <w:jc w:val="both"/>
      </w:pPr>
    </w:p>
    <w:p w14:paraId="5046EC96" w14:textId="77777777" w:rsidR="008946B7" w:rsidRDefault="0070589C" w:rsidP="0070589C">
      <w:pPr>
        <w:pStyle w:val="BodyText"/>
        <w:kinsoku w:val="0"/>
        <w:overflowPunct w:val="0"/>
        <w:ind w:right="540" w:firstLine="360"/>
        <w:jc w:val="both"/>
      </w:pPr>
      <w:r>
        <w:t xml:space="preserve">The </w:t>
      </w:r>
      <w:r w:rsidR="00D1193B">
        <w:t xml:space="preserve">case study that concludes this chapter provides an opportunity for students to </w:t>
      </w:r>
      <w:r w:rsidR="00354D97">
        <w:t xml:space="preserve">observe many of the disaster theories and concepts </w:t>
      </w:r>
      <w:r w:rsidR="004110EA">
        <w:t xml:space="preserve">in context. </w:t>
      </w:r>
      <w:r w:rsidR="000C77EF">
        <w:t xml:space="preserve"> Reflecting our changed climate, the fires started </w:t>
      </w:r>
      <w:r w:rsidR="00D276E0">
        <w:t xml:space="preserve">at a time when the mountains are usually covered with snow.  The </w:t>
      </w:r>
      <w:r w:rsidR="00DF027E">
        <w:t>state g</w:t>
      </w:r>
      <w:r w:rsidR="00D276E0">
        <w:t xml:space="preserve">overnor </w:t>
      </w:r>
      <w:r w:rsidR="0059688E">
        <w:t>requested a major disaster declaration</w:t>
      </w:r>
      <w:r w:rsidR="00C01929">
        <w:t xml:space="preserve"> under the Stafford Act</w:t>
      </w:r>
      <w:r w:rsidR="0059688E">
        <w:t xml:space="preserve">, which the </w:t>
      </w:r>
      <w:r w:rsidR="00DF027E">
        <w:t>p</w:t>
      </w:r>
      <w:r w:rsidR="0059688E">
        <w:t xml:space="preserve">resident promptly granted.  </w:t>
      </w:r>
      <w:r w:rsidR="002E2BCB">
        <w:t xml:space="preserve">Impacted communities demonstrated readiness, </w:t>
      </w:r>
      <w:r w:rsidR="008D395E">
        <w:t xml:space="preserve">moved swiftly into response, and continue with recovery.  </w:t>
      </w:r>
      <w:r w:rsidR="00270F85">
        <w:t xml:space="preserve">The communities of northern New Mexico impacted by the </w:t>
      </w:r>
      <w:r w:rsidR="00284065">
        <w:t>Hermit’s Peak/Calf Canyon F</w:t>
      </w:r>
      <w:r w:rsidR="00270F85">
        <w:t xml:space="preserve">ire </w:t>
      </w:r>
      <w:r w:rsidR="008C119E">
        <w:t xml:space="preserve">may </w:t>
      </w:r>
      <w:r w:rsidR="00717593">
        <w:t xml:space="preserve">rank high for </w:t>
      </w:r>
      <w:r w:rsidR="00284065">
        <w:t xml:space="preserve">physical </w:t>
      </w:r>
      <w:r w:rsidR="00717593">
        <w:t xml:space="preserve">vulnerability to wildfire, but also high for social cohesion and </w:t>
      </w:r>
      <w:r w:rsidR="00284065">
        <w:t xml:space="preserve">social </w:t>
      </w:r>
      <w:r w:rsidR="00717593">
        <w:t xml:space="preserve">resilience.  </w:t>
      </w:r>
    </w:p>
    <w:p w14:paraId="57522E18" w14:textId="69F4EE19" w:rsidR="0070589C" w:rsidRDefault="00D078DB" w:rsidP="008579D1">
      <w:pPr>
        <w:pStyle w:val="BodyText"/>
        <w:kinsoku w:val="0"/>
        <w:overflowPunct w:val="0"/>
        <w:ind w:right="540" w:firstLine="360"/>
        <w:jc w:val="both"/>
      </w:pPr>
      <w:r>
        <w:t>Demographic</w:t>
      </w:r>
      <w:r w:rsidR="00FE26D3">
        <w:t>ally, t</w:t>
      </w:r>
      <w:r w:rsidR="008946B7">
        <w:t>he</w:t>
      </w:r>
      <w:r w:rsidR="00F77E21">
        <w:t xml:space="preserve"> </w:t>
      </w:r>
      <w:r w:rsidR="00423DCB">
        <w:t xml:space="preserve">isolated, </w:t>
      </w:r>
      <w:r w:rsidR="00F77E21">
        <w:t>mountain villages</w:t>
      </w:r>
      <w:r w:rsidR="008946B7">
        <w:t xml:space="preserve"> may </w:t>
      </w:r>
      <w:r w:rsidR="00FE26D3">
        <w:t xml:space="preserve">suggest </w:t>
      </w:r>
      <w:r w:rsidR="00492F6C">
        <w:t xml:space="preserve">classic “EJ communities,” with high </w:t>
      </w:r>
      <w:r w:rsidR="00274466">
        <w:t xml:space="preserve">populations of minority and low-income residents.  </w:t>
      </w:r>
      <w:r w:rsidR="009C63C8">
        <w:t xml:space="preserve">However, </w:t>
      </w:r>
      <w:r w:rsidR="004B77EC">
        <w:t>the</w:t>
      </w:r>
      <w:r w:rsidR="00D422E8">
        <w:t xml:space="preserve"> </w:t>
      </w:r>
      <w:r w:rsidR="004B77EC">
        <w:t xml:space="preserve">people </w:t>
      </w:r>
      <w:r w:rsidR="00D422E8">
        <w:t xml:space="preserve">of these villages </w:t>
      </w:r>
      <w:r w:rsidR="004B77EC">
        <w:t xml:space="preserve">may not see themselves the same way.  Like Puerto Ricans in Puerto Rico, Hispanics are not a “minority” in </w:t>
      </w:r>
      <w:r w:rsidR="003F2F1D">
        <w:t xml:space="preserve">northern </w:t>
      </w:r>
      <w:r w:rsidR="007D6933">
        <w:t xml:space="preserve">New Mexico. And to be designated as “low-income” may </w:t>
      </w:r>
      <w:r w:rsidR="006613E8">
        <w:t xml:space="preserve">overlook </w:t>
      </w:r>
      <w:r w:rsidR="007D6933">
        <w:t xml:space="preserve">the significant </w:t>
      </w:r>
      <w:r w:rsidR="0094215C">
        <w:t>assets that</w:t>
      </w:r>
      <w:r w:rsidR="006E036B">
        <w:t xml:space="preserve"> community members may find </w:t>
      </w:r>
      <w:r w:rsidR="00076635">
        <w:t xml:space="preserve">in the natural resources that </w:t>
      </w:r>
      <w:r w:rsidR="00552C68">
        <w:t>surround them, to includ</w:t>
      </w:r>
      <w:r w:rsidR="0060303C">
        <w:t>e</w:t>
      </w:r>
      <w:r w:rsidR="00552C68">
        <w:t xml:space="preserve"> firewood </w:t>
      </w:r>
      <w:r w:rsidR="001878C3">
        <w:t xml:space="preserve">and wild game </w:t>
      </w:r>
      <w:r w:rsidR="00552C68">
        <w:t xml:space="preserve">from the forests </w:t>
      </w:r>
      <w:r w:rsidR="001878C3">
        <w:t>plus</w:t>
      </w:r>
      <w:r w:rsidR="00552C68">
        <w:t xml:space="preserve"> grazing lands in the meadows.  </w:t>
      </w:r>
      <w:r w:rsidR="00B05B49">
        <w:t>Understanding these assets</w:t>
      </w:r>
      <w:r w:rsidR="00290FEF">
        <w:t xml:space="preserve"> and the unique way of life in the communities can help explain both their resilience </w:t>
      </w:r>
      <w:r w:rsidR="00D1348D">
        <w:t xml:space="preserve">(including the remarkable fact that no one died in the flames) and </w:t>
      </w:r>
      <w:r w:rsidR="00FB04C9">
        <w:t>the losses they experienced</w:t>
      </w:r>
      <w:r w:rsidR="00930CB6">
        <w:t xml:space="preserve"> (which may be hard to measure in money).  </w:t>
      </w:r>
      <w:r w:rsidR="00433053">
        <w:t xml:space="preserve">In the end, students </w:t>
      </w:r>
      <w:r w:rsidR="006C09DF">
        <w:t xml:space="preserve">may be reminded of the EJ motto:  “We speak for ourselves.”  </w:t>
      </w:r>
      <w:r w:rsidR="008579D1">
        <w:t>And this should remind the rest of us to listen.</w:t>
      </w:r>
    </w:p>
    <w:p w14:paraId="5F88E220" w14:textId="7E82FF2F" w:rsidR="0070589C" w:rsidRPr="00861AFE" w:rsidRDefault="0070589C" w:rsidP="0070589C">
      <w:pPr>
        <w:pStyle w:val="BodyText"/>
        <w:kinsoku w:val="0"/>
        <w:overflowPunct w:val="0"/>
        <w:ind w:right="897" w:firstLine="720"/>
        <w:jc w:val="both"/>
      </w:pPr>
      <w:r>
        <w:rPr>
          <w:b/>
          <w:sz w:val="32"/>
          <w:szCs w:val="32"/>
        </w:rPr>
        <w:br w:type="page"/>
      </w:r>
    </w:p>
    <w:p w14:paraId="3F47A051" w14:textId="1406937B" w:rsidR="00B82D5C" w:rsidRDefault="0070589C" w:rsidP="0003779E">
      <w:pPr>
        <w:pStyle w:val="BodyText"/>
        <w:kinsoku w:val="0"/>
        <w:overflowPunct w:val="0"/>
        <w:ind w:right="897"/>
        <w:jc w:val="center"/>
        <w:rPr>
          <w:b/>
          <w:sz w:val="32"/>
          <w:szCs w:val="32"/>
        </w:rPr>
      </w:pPr>
      <w:r>
        <w:rPr>
          <w:b/>
          <w:sz w:val="32"/>
          <w:szCs w:val="32"/>
        </w:rPr>
        <w:lastRenderedPageBreak/>
        <w:t>APP</w:t>
      </w:r>
      <w:r w:rsidRPr="002A36F9">
        <w:rPr>
          <w:b/>
          <w:sz w:val="32"/>
          <w:szCs w:val="32"/>
        </w:rPr>
        <w:t>ENDIX:</w:t>
      </w:r>
      <w:r w:rsidR="0003779E">
        <w:rPr>
          <w:b/>
          <w:sz w:val="32"/>
          <w:szCs w:val="32"/>
        </w:rPr>
        <w:t xml:space="preserve">  </w:t>
      </w:r>
      <w:r>
        <w:rPr>
          <w:b/>
          <w:sz w:val="32"/>
          <w:szCs w:val="32"/>
        </w:rPr>
        <w:t>DISASTER SIMULATION</w:t>
      </w:r>
    </w:p>
    <w:p w14:paraId="1590E198" w14:textId="77777777" w:rsidR="00B82D5C" w:rsidRDefault="00B82D5C" w:rsidP="0003779E">
      <w:pPr>
        <w:pStyle w:val="BodyText"/>
        <w:kinsoku w:val="0"/>
        <w:overflowPunct w:val="0"/>
        <w:ind w:right="897"/>
        <w:jc w:val="center"/>
        <w:rPr>
          <w:b/>
          <w:sz w:val="32"/>
          <w:szCs w:val="32"/>
        </w:rPr>
      </w:pPr>
    </w:p>
    <w:p w14:paraId="35933CEB" w14:textId="77777777" w:rsidR="0003779E" w:rsidRPr="00862638" w:rsidRDefault="0003779E" w:rsidP="0003779E">
      <w:pPr>
        <w:jc w:val="center"/>
        <w:rPr>
          <w:sz w:val="36"/>
          <w:szCs w:val="36"/>
        </w:rPr>
      </w:pPr>
      <w:r w:rsidRPr="00862638">
        <w:rPr>
          <w:b/>
          <w:sz w:val="36"/>
          <w:szCs w:val="36"/>
        </w:rPr>
        <w:t>Cochiti Dam Breach</w:t>
      </w:r>
    </w:p>
    <w:p w14:paraId="6C94D471" w14:textId="77777777" w:rsidR="0003779E" w:rsidRDefault="0003779E" w:rsidP="0003779E"/>
    <w:p w14:paraId="24A6E16C" w14:textId="77777777" w:rsidR="0003779E" w:rsidRPr="00493245" w:rsidRDefault="0003779E" w:rsidP="0003779E">
      <w:r w:rsidRPr="00493245">
        <w:t>In late March 2026, northern New Mexico began to experience unprecedented rainfall.  After two straight weeks of rain, reservoirs along the Rio Grande that were once dry began to reach maximum capacity.  One of these reservoirs is Cochiti Lake, approximately 50 miles north of Albuquerque, and now filled to capacity at 710,000 acre-feet.  Cochiti Lake was created by Cochiti Dam, an earthen fill dam completed in 1973.  Historians recently discovered that when the dam was under construction, it was filled not only with dirt and rock, but with tons of unconsolidated municipal waste from Albuquerque and Santa Fe.  Sediments at the bottom of Cochiti Lake are also known to contain radioactive materials released from Los Alamos National Laboratory.  When all these findings came to light in the summer of 2018, the U.S. Army Corps of Engineers, which built and operates the dam, sought funding from Congress to assess the structural integrity of the dam.  Congress denied this funding request.</w:t>
      </w:r>
    </w:p>
    <w:p w14:paraId="3122B524" w14:textId="77777777" w:rsidR="0003779E" w:rsidRPr="00493245" w:rsidRDefault="0003779E" w:rsidP="0003779E"/>
    <w:p w14:paraId="1B8BF5CE" w14:textId="77777777" w:rsidR="0003779E" w:rsidRPr="00493245" w:rsidRDefault="0003779E" w:rsidP="0003779E">
      <w:r w:rsidRPr="00493245">
        <w:t>With the rains unrelenting, in the morning of April 7, 2026, cracks were discovered around the spillway at the base of Cochiti Dam.  Around 10:45 am, water began to burst through the base of the dam as the cracks continued to expand.  At 11:53 am, water began gushing out of the base of the dam and beginning to flood the spillway and overtop the banks of the Rio Grande below.  At 12:58 pm, the entire dam begins to crumble and engineers fear that a 50-foot wall of water may sweep down the Middle Rio Grande Valley and reach Albuquerque within eight hours.</w:t>
      </w:r>
    </w:p>
    <w:p w14:paraId="63619D80" w14:textId="77777777" w:rsidR="0003779E" w:rsidRPr="00493245" w:rsidRDefault="0003779E" w:rsidP="0003779E">
      <w:pPr>
        <w:ind w:left="1080"/>
      </w:pPr>
    </w:p>
    <w:p w14:paraId="32E42426" w14:textId="77777777" w:rsidR="0003779E" w:rsidRPr="00493245" w:rsidRDefault="0003779E" w:rsidP="0003779E">
      <w:r w:rsidRPr="00493245">
        <w:rPr>
          <w:u w:val="single"/>
        </w:rPr>
        <w:t>Mission</w:t>
      </w:r>
      <w:r w:rsidRPr="00493245">
        <w:t xml:space="preserve">:  Considering the EJ values of </w:t>
      </w:r>
      <w:r w:rsidRPr="00493245">
        <w:rPr>
          <w:b/>
        </w:rPr>
        <w:t>fair treatment</w:t>
      </w:r>
      <w:r w:rsidRPr="00493245">
        <w:t xml:space="preserve"> and </w:t>
      </w:r>
      <w:r w:rsidRPr="00493245">
        <w:rPr>
          <w:b/>
        </w:rPr>
        <w:t>meaningful involvement</w:t>
      </w:r>
      <w:r w:rsidRPr="00493245">
        <w:t>, students will work in one of three teams, pursuing the following objectives—</w:t>
      </w:r>
    </w:p>
    <w:p w14:paraId="754B87D0" w14:textId="77777777" w:rsidR="0003779E" w:rsidRPr="00493245" w:rsidRDefault="0003779E" w:rsidP="0003779E"/>
    <w:p w14:paraId="6DA637BD" w14:textId="77777777" w:rsidR="0003779E" w:rsidRPr="00493245" w:rsidRDefault="0003779E" w:rsidP="0003779E">
      <w:pPr>
        <w:pStyle w:val="ListParagraph"/>
        <w:widowControl/>
        <w:numPr>
          <w:ilvl w:val="0"/>
          <w:numId w:val="28"/>
        </w:numPr>
        <w:autoSpaceDE/>
        <w:autoSpaceDN/>
        <w:adjustRightInd/>
        <w:rPr>
          <w:sz w:val="22"/>
          <w:szCs w:val="22"/>
        </w:rPr>
      </w:pPr>
      <w:r w:rsidRPr="00493245">
        <w:rPr>
          <w:b/>
          <w:sz w:val="22"/>
          <w:szCs w:val="22"/>
        </w:rPr>
        <w:t>Readiness</w:t>
      </w:r>
      <w:r w:rsidRPr="00493245">
        <w:rPr>
          <w:sz w:val="22"/>
          <w:szCs w:val="22"/>
        </w:rPr>
        <w:t xml:space="preserve">:  Identify all the communities potentially impacted by the dam breach and consider all the ways that people may be impacted.  Find the federal, state, and local response plans that should apply to this incident.  Summarize key elements of the plans and relay findings to Response team.  </w:t>
      </w:r>
    </w:p>
    <w:p w14:paraId="1CB52D32" w14:textId="77777777" w:rsidR="0003779E" w:rsidRPr="00493245" w:rsidRDefault="0003779E" w:rsidP="0003779E">
      <w:pPr>
        <w:pStyle w:val="ListParagraph"/>
        <w:rPr>
          <w:sz w:val="22"/>
          <w:szCs w:val="22"/>
        </w:rPr>
      </w:pPr>
    </w:p>
    <w:p w14:paraId="6D93A16A" w14:textId="0F4CAB6B" w:rsidR="0003779E" w:rsidRPr="00493245" w:rsidRDefault="0003779E" w:rsidP="0003779E">
      <w:pPr>
        <w:pStyle w:val="ListParagraph"/>
        <w:widowControl/>
        <w:numPr>
          <w:ilvl w:val="0"/>
          <w:numId w:val="28"/>
        </w:numPr>
        <w:autoSpaceDE/>
        <w:autoSpaceDN/>
        <w:adjustRightInd/>
        <w:rPr>
          <w:sz w:val="22"/>
          <w:szCs w:val="22"/>
        </w:rPr>
      </w:pPr>
      <w:r w:rsidRPr="00493245">
        <w:rPr>
          <w:b/>
          <w:sz w:val="22"/>
          <w:szCs w:val="22"/>
        </w:rPr>
        <w:t>Response</w:t>
      </w:r>
      <w:r w:rsidRPr="00493245">
        <w:rPr>
          <w:sz w:val="22"/>
          <w:szCs w:val="22"/>
        </w:rPr>
        <w:t xml:space="preserve">:  Compile and rank a list of priorities to respond to the dam breach over the next 24 hours.  Identify agencies and organizations that should participate or must receive notice.  Consider needs for evacuation, shelter, food, medical care, protection of property and the environment.  </w:t>
      </w:r>
      <w:r w:rsidR="005C79B2" w:rsidRPr="00493245">
        <w:rPr>
          <w:sz w:val="22"/>
          <w:szCs w:val="22"/>
        </w:rPr>
        <w:t xml:space="preserve">Do you need an emergency declaration?  </w:t>
      </w:r>
      <w:r w:rsidR="00F54B8A">
        <w:rPr>
          <w:sz w:val="22"/>
          <w:szCs w:val="22"/>
        </w:rPr>
        <w:t xml:space="preserve">Consider special needs for children, older adults, immigrant communities, and other vulnerable populations.  </w:t>
      </w:r>
      <w:r w:rsidRPr="00493245">
        <w:rPr>
          <w:sz w:val="22"/>
          <w:szCs w:val="22"/>
        </w:rPr>
        <w:t>Share response plans with Recovery team.</w:t>
      </w:r>
    </w:p>
    <w:p w14:paraId="53A45FEF" w14:textId="77777777" w:rsidR="0003779E" w:rsidRPr="00493245" w:rsidRDefault="0003779E" w:rsidP="0003779E">
      <w:pPr>
        <w:pStyle w:val="ListParagraph"/>
        <w:rPr>
          <w:sz w:val="22"/>
          <w:szCs w:val="22"/>
        </w:rPr>
      </w:pPr>
    </w:p>
    <w:p w14:paraId="64013A8D" w14:textId="058F1E86" w:rsidR="0003779E" w:rsidRPr="00493245" w:rsidRDefault="0003779E" w:rsidP="0003779E">
      <w:pPr>
        <w:pStyle w:val="ListParagraph"/>
        <w:widowControl/>
        <w:numPr>
          <w:ilvl w:val="0"/>
          <w:numId w:val="28"/>
        </w:numPr>
        <w:autoSpaceDE/>
        <w:autoSpaceDN/>
        <w:adjustRightInd/>
        <w:rPr>
          <w:sz w:val="22"/>
          <w:szCs w:val="22"/>
        </w:rPr>
      </w:pPr>
      <w:r w:rsidRPr="00493245">
        <w:rPr>
          <w:b/>
          <w:sz w:val="22"/>
          <w:szCs w:val="22"/>
        </w:rPr>
        <w:t>Recovery</w:t>
      </w:r>
      <w:r w:rsidRPr="00493245">
        <w:rPr>
          <w:sz w:val="22"/>
          <w:szCs w:val="22"/>
        </w:rPr>
        <w:t xml:space="preserve">:  Imagine the best outcome for all the people of the </w:t>
      </w:r>
      <w:r w:rsidR="00622720" w:rsidRPr="00493245">
        <w:rPr>
          <w:sz w:val="22"/>
          <w:szCs w:val="22"/>
        </w:rPr>
        <w:t xml:space="preserve">impacted area. </w:t>
      </w:r>
      <w:r w:rsidRPr="00493245">
        <w:rPr>
          <w:sz w:val="22"/>
          <w:szCs w:val="22"/>
        </w:rPr>
        <w:t>What can be done now to help rebuild quickly and emerge with stronger and more resilient communities?  What resources can each level of government provide to assist with that purposeful recovery?</w:t>
      </w:r>
      <w:r w:rsidR="00622720" w:rsidRPr="00493245">
        <w:rPr>
          <w:sz w:val="22"/>
          <w:szCs w:val="22"/>
        </w:rPr>
        <w:t xml:space="preserve">  Will you seek a </w:t>
      </w:r>
      <w:r w:rsidR="005C79B2" w:rsidRPr="00493245">
        <w:rPr>
          <w:sz w:val="22"/>
          <w:szCs w:val="22"/>
        </w:rPr>
        <w:t>major disaster declaration?</w:t>
      </w:r>
      <w:r w:rsidR="00241C0E">
        <w:rPr>
          <w:sz w:val="22"/>
          <w:szCs w:val="22"/>
        </w:rPr>
        <w:t xml:space="preserve">  For what purposes?</w:t>
      </w:r>
    </w:p>
    <w:p w14:paraId="1840C6B1" w14:textId="2FA99267" w:rsidR="0003779E" w:rsidRPr="00493245" w:rsidRDefault="0003779E">
      <w:pPr>
        <w:widowControl/>
        <w:autoSpaceDE/>
        <w:autoSpaceDN/>
        <w:adjustRightInd/>
        <w:rPr>
          <w:u w:val="single"/>
        </w:rPr>
      </w:pPr>
    </w:p>
    <w:p w14:paraId="349D0E8C" w14:textId="30A79DE3" w:rsidR="0003779E" w:rsidRPr="00493245" w:rsidRDefault="0003779E" w:rsidP="0003779E">
      <w:r w:rsidRPr="00493245">
        <w:rPr>
          <w:u w:val="single"/>
        </w:rPr>
        <w:t>Output</w:t>
      </w:r>
      <w:r w:rsidRPr="00493245">
        <w:t>:  Each team will prepare and present a five-minute Power</w:t>
      </w:r>
      <w:r w:rsidR="00DE4734" w:rsidRPr="00493245">
        <w:t>P</w:t>
      </w:r>
      <w:r w:rsidRPr="00493245">
        <w:t>oint briefing.  The first brief will begin 60 minutes from when you hear “GO.”  In your presentation, identify your team name and mission assignment.  Include slides with a single image or word or phrase; e.g., “</w:t>
      </w:r>
      <w:r w:rsidR="007366BE" w:rsidRPr="00493245">
        <w:t>FEMA</w:t>
      </w:r>
      <w:r w:rsidRPr="00493245">
        <w:t xml:space="preserve">” or “Red Cross.”  Use any written or electronic resources available to you, but do NOT contact any </w:t>
      </w:r>
      <w:r w:rsidR="006729FB">
        <w:t>person</w:t>
      </w:r>
      <w:r w:rsidRPr="00493245">
        <w:t xml:space="preserve"> outside of our classr</w:t>
      </w:r>
      <w:r w:rsidR="00977501">
        <w:t>oom</w:t>
      </w:r>
      <w:r w:rsidRPr="00493245">
        <w:t xml:space="preserve">.  </w:t>
      </w:r>
    </w:p>
    <w:p w14:paraId="0843D2CD" w14:textId="77777777" w:rsidR="0003779E" w:rsidRPr="00493245" w:rsidRDefault="0003779E" w:rsidP="0003779E">
      <w:pPr>
        <w:ind w:left="1080"/>
      </w:pPr>
    </w:p>
    <w:p w14:paraId="7E102453" w14:textId="640A0660" w:rsidR="00B82D5C" w:rsidRPr="00493245" w:rsidRDefault="0003779E" w:rsidP="00DE4734">
      <w:pPr>
        <w:rPr>
          <w:b/>
        </w:rPr>
      </w:pPr>
      <w:r w:rsidRPr="00493245">
        <w:rPr>
          <w:i/>
          <w:iCs/>
        </w:rPr>
        <w:t xml:space="preserve">Questions?        </w:t>
      </w:r>
      <w:r w:rsidR="00DE4734" w:rsidRPr="00493245">
        <w:t>GO!!</w:t>
      </w:r>
    </w:p>
    <w:p w14:paraId="42217DF8" w14:textId="706DB8F4" w:rsidR="0070589C" w:rsidRPr="002D69E9" w:rsidRDefault="00B82D5C" w:rsidP="00DE4734">
      <w:pPr>
        <w:widowControl/>
        <w:autoSpaceDE/>
        <w:autoSpaceDN/>
        <w:adjustRightInd/>
        <w:jc w:val="both"/>
        <w:rPr>
          <w:sz w:val="32"/>
          <w:szCs w:val="32"/>
        </w:rPr>
      </w:pPr>
      <w:r>
        <w:rPr>
          <w:b/>
          <w:sz w:val="32"/>
          <w:szCs w:val="32"/>
        </w:rPr>
        <w:br w:type="page"/>
      </w:r>
      <w:r w:rsidR="0070589C" w:rsidRPr="002D69E9">
        <w:rPr>
          <w:sz w:val="32"/>
          <w:szCs w:val="32"/>
        </w:rPr>
        <w:lastRenderedPageBreak/>
        <w:t xml:space="preserve">Chapter 16 </w:t>
      </w:r>
    </w:p>
    <w:p w14:paraId="1B748EEF" w14:textId="34494D2C" w:rsidR="00B35D9A" w:rsidRDefault="00B35D9A"/>
    <w:p w14:paraId="6F219816" w14:textId="77777777" w:rsidR="0070589C" w:rsidRDefault="0070589C" w:rsidP="0070589C">
      <w:pPr>
        <w:pStyle w:val="Heading1"/>
        <w:tabs>
          <w:tab w:val="left" w:pos="2487"/>
        </w:tabs>
        <w:kinsoku w:val="0"/>
        <w:overflowPunct w:val="0"/>
        <w:ind w:left="0"/>
        <w:jc w:val="both"/>
        <w:rPr>
          <w:sz w:val="32"/>
          <w:szCs w:val="32"/>
        </w:rPr>
      </w:pPr>
      <w:r w:rsidRPr="002D69E9">
        <w:rPr>
          <w:sz w:val="32"/>
          <w:szCs w:val="32"/>
        </w:rPr>
        <w:t>Food Justice</w:t>
      </w:r>
    </w:p>
    <w:p w14:paraId="76D46B9D" w14:textId="77777777" w:rsidR="0070589C" w:rsidRDefault="0070589C" w:rsidP="0070589C"/>
    <w:p w14:paraId="4E316E54" w14:textId="77777777" w:rsidR="0070589C" w:rsidRPr="00B35D9A" w:rsidRDefault="0070589C" w:rsidP="00307558">
      <w:pPr>
        <w:numPr>
          <w:ilvl w:val="0"/>
          <w:numId w:val="35"/>
        </w:numPr>
        <w:rPr>
          <w:b/>
          <w:bCs/>
          <w:sz w:val="24"/>
          <w:szCs w:val="24"/>
        </w:rPr>
      </w:pPr>
      <w:r w:rsidRPr="00B35D9A">
        <w:rPr>
          <w:b/>
          <w:bCs/>
          <w:sz w:val="24"/>
          <w:szCs w:val="24"/>
        </w:rPr>
        <w:t>Introduction</w:t>
      </w:r>
    </w:p>
    <w:p w14:paraId="596275F0" w14:textId="77777777" w:rsidR="0070589C" w:rsidRPr="00F36AAC" w:rsidRDefault="0070589C" w:rsidP="0070589C">
      <w:pPr>
        <w:pStyle w:val="BodyText"/>
        <w:kinsoku w:val="0"/>
        <w:overflowPunct w:val="0"/>
        <w:jc w:val="both"/>
      </w:pPr>
    </w:p>
    <w:p w14:paraId="1F88B82B" w14:textId="51EC9357" w:rsidR="00D777F6" w:rsidRDefault="0070589C" w:rsidP="0070589C">
      <w:pPr>
        <w:pStyle w:val="BodyText"/>
        <w:kinsoku w:val="0"/>
        <w:overflowPunct w:val="0"/>
        <w:ind w:right="540" w:firstLine="720"/>
        <w:jc w:val="both"/>
      </w:pPr>
      <w:r w:rsidRPr="00F36AAC">
        <w:t xml:space="preserve">There are </w:t>
      </w:r>
      <w:r w:rsidR="00D777F6">
        <w:t xml:space="preserve">many </w:t>
      </w:r>
      <w:r w:rsidRPr="00F36AAC">
        <w:t>approaches one can take to teach this chapter. One approach is a straightforward discussion of the chapter materials. Another approach</w:t>
      </w:r>
      <w:r w:rsidR="008E42DE">
        <w:t xml:space="preserve"> is to take a class stroll or drive around local neighborhoods to observe some of the differences in food offerings.  If this final chapter of the book equates with a final lecture of the term</w:t>
      </w:r>
      <w:r w:rsidR="00D777F6">
        <w:t>, then perhaps some kind of pot</w:t>
      </w:r>
      <w:r w:rsidR="008E42DE">
        <w:t xml:space="preserve">luck or other food sharing would be in order.  </w:t>
      </w:r>
    </w:p>
    <w:p w14:paraId="6B37094A" w14:textId="77777777" w:rsidR="00D777F6" w:rsidRDefault="00D777F6" w:rsidP="0070589C">
      <w:pPr>
        <w:pStyle w:val="BodyText"/>
        <w:kinsoku w:val="0"/>
        <w:overflowPunct w:val="0"/>
        <w:ind w:right="540" w:firstLine="720"/>
        <w:jc w:val="both"/>
      </w:pPr>
    </w:p>
    <w:p w14:paraId="49F05EDC" w14:textId="77777777" w:rsidR="00D777F6" w:rsidRPr="00B35D9A" w:rsidRDefault="00D777F6" w:rsidP="00D777F6">
      <w:pPr>
        <w:numPr>
          <w:ilvl w:val="0"/>
          <w:numId w:val="35"/>
        </w:numPr>
        <w:tabs>
          <w:tab w:val="left" w:pos="563"/>
        </w:tabs>
        <w:kinsoku w:val="0"/>
        <w:overflowPunct w:val="0"/>
        <w:jc w:val="both"/>
        <w:rPr>
          <w:b/>
          <w:bCs/>
          <w:sz w:val="24"/>
          <w:szCs w:val="24"/>
        </w:rPr>
      </w:pPr>
      <w:r w:rsidRPr="00B35D9A">
        <w:rPr>
          <w:b/>
          <w:bCs/>
          <w:sz w:val="24"/>
          <w:szCs w:val="24"/>
        </w:rPr>
        <w:t xml:space="preserve">  Food Deserts</w:t>
      </w:r>
    </w:p>
    <w:p w14:paraId="092938E6" w14:textId="77777777" w:rsidR="00D777F6" w:rsidRDefault="00D777F6" w:rsidP="0070589C">
      <w:pPr>
        <w:pStyle w:val="BodyText"/>
        <w:kinsoku w:val="0"/>
        <w:overflowPunct w:val="0"/>
        <w:ind w:right="540" w:firstLine="720"/>
        <w:jc w:val="both"/>
      </w:pPr>
    </w:p>
    <w:p w14:paraId="315367D5" w14:textId="5305EE8D" w:rsidR="0070589C" w:rsidRPr="00F36AAC" w:rsidRDefault="00D777F6" w:rsidP="0070589C">
      <w:pPr>
        <w:pStyle w:val="BodyText"/>
        <w:kinsoku w:val="0"/>
        <w:overflowPunct w:val="0"/>
        <w:ind w:right="540" w:firstLine="720"/>
        <w:jc w:val="both"/>
      </w:pPr>
      <w:r>
        <w:t xml:space="preserve">One approach to this section is to begin with </w:t>
      </w:r>
      <w:r w:rsidR="0070589C" w:rsidRPr="00F36AAC">
        <w:t>the o</w:t>
      </w:r>
      <w:r>
        <w:t>rigins of the term “Food Desert</w:t>
      </w:r>
      <w:r w:rsidR="0070589C" w:rsidRPr="00F36AAC">
        <w:t>” and discuss its evolution as a concept. Considering the historic-legal develo</w:t>
      </w:r>
      <w:r>
        <w:t>pments of the term “Food Desert</w:t>
      </w:r>
      <w:r w:rsidR="0070589C" w:rsidRPr="00F36AAC">
        <w:t>” also show</w:t>
      </w:r>
      <w:r>
        <w:t>s</w:t>
      </w:r>
      <w:r w:rsidR="0070589C" w:rsidRPr="00F36AAC">
        <w:t xml:space="preserve"> the changes over time </w:t>
      </w:r>
      <w:r>
        <w:t xml:space="preserve">in proposed </w:t>
      </w:r>
      <w:r w:rsidR="0070589C" w:rsidRPr="00F36AAC">
        <w:t>solutions to address</w:t>
      </w:r>
      <w:r>
        <w:t xml:space="preserve"> the problem</w:t>
      </w:r>
      <w:r w:rsidR="0070589C" w:rsidRPr="00F36AAC">
        <w:t xml:space="preserve">. </w:t>
      </w:r>
    </w:p>
    <w:p w14:paraId="67C32294" w14:textId="77777777" w:rsidR="0070589C" w:rsidRPr="00F36AAC" w:rsidRDefault="0070589C" w:rsidP="0070589C">
      <w:pPr>
        <w:pStyle w:val="BodyText"/>
        <w:kinsoku w:val="0"/>
        <w:overflowPunct w:val="0"/>
        <w:ind w:right="540" w:firstLine="720"/>
        <w:jc w:val="both"/>
      </w:pPr>
    </w:p>
    <w:p w14:paraId="44127D8E" w14:textId="5708E244" w:rsidR="0070589C" w:rsidRPr="00F36AAC" w:rsidRDefault="0070589C" w:rsidP="0070589C">
      <w:pPr>
        <w:pStyle w:val="BodyText"/>
        <w:kinsoku w:val="0"/>
        <w:overflowPunct w:val="0"/>
        <w:ind w:right="540" w:firstLine="720"/>
        <w:jc w:val="both"/>
      </w:pPr>
      <w:r w:rsidRPr="00F36AAC">
        <w:t>Christine B</w:t>
      </w:r>
      <w:r w:rsidR="008E42DE">
        <w:t>y</w:t>
      </w:r>
      <w:r w:rsidRPr="00F36AAC">
        <w:t>r</w:t>
      </w:r>
      <w:r w:rsidR="008E42DE">
        <w:t>ne writes in the Huff Post:</w:t>
      </w:r>
      <w:r w:rsidRPr="00F36AAC">
        <w:t xml:space="preserve"> </w:t>
      </w:r>
    </w:p>
    <w:p w14:paraId="146778BF" w14:textId="77777777" w:rsidR="0070589C" w:rsidRPr="00F36AAC" w:rsidRDefault="0070589C" w:rsidP="0070589C">
      <w:pPr>
        <w:pStyle w:val="BodyText"/>
        <w:kinsoku w:val="0"/>
        <w:overflowPunct w:val="0"/>
        <w:ind w:right="540" w:firstLine="720"/>
        <w:jc w:val="both"/>
      </w:pPr>
    </w:p>
    <w:p w14:paraId="608FE7CA" w14:textId="77777777" w:rsidR="0070589C" w:rsidRPr="00F36AAC" w:rsidRDefault="0070589C" w:rsidP="0070589C">
      <w:pPr>
        <w:pStyle w:val="NormalWeb"/>
        <w:spacing w:before="0" w:beforeAutospacing="0" w:after="0" w:afterAutospacing="0"/>
        <w:ind w:left="1260" w:right="810"/>
        <w:jc w:val="both"/>
        <w:rPr>
          <w:color w:val="000000"/>
        </w:rPr>
      </w:pPr>
      <w:r w:rsidRPr="00F36AAC">
        <w:rPr>
          <w:color w:val="000000"/>
        </w:rPr>
        <w:t>The term “food desert” was reportedly coined in Scotland in the early 1990s and popularized in the U.S. in 2010, when the USDA quantified and mapped food deserts as part of Michelle Obama’s “Let’s Move!” campaign. It’s become a buzzword for talking about food poverty, but the value of the term is facing increased criticism.</w:t>
      </w:r>
    </w:p>
    <w:p w14:paraId="0BBC1743" w14:textId="77777777" w:rsidR="0070589C" w:rsidRPr="00F36AAC" w:rsidRDefault="0070589C" w:rsidP="0070589C">
      <w:pPr>
        <w:pStyle w:val="NormalWeb"/>
        <w:spacing w:before="0" w:beforeAutospacing="0" w:after="0" w:afterAutospacing="0"/>
        <w:ind w:left="1260" w:right="810"/>
        <w:jc w:val="both"/>
        <w:rPr>
          <w:color w:val="000000"/>
        </w:rPr>
      </w:pPr>
    </w:p>
    <w:p w14:paraId="49D527E0" w14:textId="77777777" w:rsidR="0070589C" w:rsidRPr="00F36AAC" w:rsidRDefault="0070589C" w:rsidP="0070589C">
      <w:pPr>
        <w:pStyle w:val="NormalWeb"/>
        <w:spacing w:before="0" w:beforeAutospacing="0" w:after="0" w:afterAutospacing="0"/>
        <w:ind w:left="1260" w:right="810"/>
        <w:jc w:val="both"/>
        <w:rPr>
          <w:color w:val="000000"/>
        </w:rPr>
      </w:pPr>
      <w:r w:rsidRPr="00F36AAC">
        <w:rPr>
          <w:color w:val="000000"/>
        </w:rPr>
        <w:t>The common belief is that providing low-income neighborhoods with supermarkets will solve food deserts, but studies show this can have little effect — and for good reason. What actually causes food inequality goes beyond location, according to experts, and extends to bigger structural inequalities around income, education, nutritional knowledge and, importantly, race.</w:t>
      </w:r>
    </w:p>
    <w:p w14:paraId="1167A19B" w14:textId="77777777" w:rsidR="0070589C" w:rsidRPr="00F36AAC" w:rsidRDefault="0070589C" w:rsidP="0070589C">
      <w:pPr>
        <w:pStyle w:val="NormalWeb"/>
        <w:spacing w:before="0" w:beforeAutospacing="0" w:after="0" w:afterAutospacing="0"/>
        <w:ind w:left="1260" w:right="810"/>
        <w:jc w:val="both"/>
        <w:rPr>
          <w:color w:val="000000"/>
        </w:rPr>
      </w:pPr>
    </w:p>
    <w:p w14:paraId="4FAF79FF" w14:textId="77777777" w:rsidR="0070589C" w:rsidRPr="00F36AAC" w:rsidRDefault="0070589C" w:rsidP="0070589C">
      <w:pPr>
        <w:pStyle w:val="NormalWeb"/>
        <w:spacing w:before="0" w:beforeAutospacing="0" w:after="0" w:afterAutospacing="0"/>
        <w:ind w:left="1260" w:right="810"/>
        <w:jc w:val="both"/>
        <w:rPr>
          <w:color w:val="000000"/>
        </w:rPr>
      </w:pPr>
      <w:r w:rsidRPr="00F36AAC">
        <w:rPr>
          <w:color w:val="000000"/>
        </w:rPr>
        <w:t>“The fact that predominantly black neighborhoods, on average, have fewer stores and poorer quality [food] compared to their white counterparts means something,” said Ashanté M. Reese, a professor of sociology and anthropology at Spelman College who studies race and food inequity.</w:t>
      </w:r>
    </w:p>
    <w:p w14:paraId="19E7F871" w14:textId="77777777" w:rsidR="0070589C" w:rsidRPr="00F36AAC" w:rsidRDefault="0070589C" w:rsidP="0070589C">
      <w:pPr>
        <w:pStyle w:val="NormalWeb"/>
        <w:spacing w:before="0" w:beforeAutospacing="0" w:after="0" w:afterAutospacing="0"/>
        <w:ind w:left="1260" w:right="810"/>
        <w:jc w:val="both"/>
        <w:rPr>
          <w:color w:val="000000"/>
        </w:rPr>
      </w:pPr>
    </w:p>
    <w:p w14:paraId="7332C17E" w14:textId="77777777" w:rsidR="0070589C" w:rsidRPr="00F36AAC" w:rsidRDefault="0070589C" w:rsidP="0070589C">
      <w:pPr>
        <w:pStyle w:val="NormalWeb"/>
        <w:spacing w:before="0" w:beforeAutospacing="0" w:after="0" w:afterAutospacing="0"/>
        <w:ind w:left="1260" w:right="810"/>
        <w:jc w:val="both"/>
        <w:rPr>
          <w:color w:val="000000"/>
        </w:rPr>
      </w:pPr>
      <w:r w:rsidRPr="00F36AAC">
        <w:rPr>
          <w:color w:val="000000"/>
        </w:rPr>
        <w:t xml:space="preserve">Reese and other specialists agree that the “food desert” label oversimplifies a complicated web of systemic issues and suggests either that an area can’t be a source of healthy food or that plonking down a supermarket will fix the problem. Eliminating food inequality requires not just opening new stores, but making sure people have accessible means of transportation to actually get to them. It means culturally sensitive business development and prices </w:t>
      </w:r>
      <w:r w:rsidRPr="00F36AAC">
        <w:rPr>
          <w:color w:val="000000"/>
        </w:rPr>
        <w:lastRenderedPageBreak/>
        <w:t>people can afford. It might even mean eliminating the term “food deserts” altogether.</w:t>
      </w:r>
    </w:p>
    <w:p w14:paraId="7D35F2AF" w14:textId="77777777" w:rsidR="0070589C" w:rsidRPr="00F36AAC" w:rsidRDefault="0070589C" w:rsidP="0070589C">
      <w:pPr>
        <w:pStyle w:val="BodyText"/>
        <w:kinsoku w:val="0"/>
        <w:overflowPunct w:val="0"/>
        <w:ind w:right="540" w:firstLine="720"/>
        <w:jc w:val="both"/>
      </w:pPr>
    </w:p>
    <w:p w14:paraId="19AC23C7" w14:textId="0ECC88FC" w:rsidR="0070589C" w:rsidRPr="00F36AAC" w:rsidRDefault="00B35D9A" w:rsidP="0070589C">
      <w:pPr>
        <w:pStyle w:val="Heading1"/>
        <w:ind w:right="540"/>
        <w:jc w:val="both"/>
        <w:rPr>
          <w:b w:val="0"/>
          <w:bCs w:val="0"/>
        </w:rPr>
      </w:pPr>
      <w:r>
        <w:rPr>
          <w:b w:val="0"/>
          <w:bCs w:val="0"/>
        </w:rPr>
        <w:t>Christine B</w:t>
      </w:r>
      <w:r w:rsidR="0070589C" w:rsidRPr="00F36AAC">
        <w:rPr>
          <w:b w:val="0"/>
          <w:bCs w:val="0"/>
        </w:rPr>
        <w:t>y</w:t>
      </w:r>
      <w:r>
        <w:rPr>
          <w:b w:val="0"/>
          <w:bCs w:val="0"/>
        </w:rPr>
        <w:t>r</w:t>
      </w:r>
      <w:r w:rsidR="0070589C" w:rsidRPr="00F36AAC">
        <w:rPr>
          <w:b w:val="0"/>
          <w:bCs w:val="0"/>
        </w:rPr>
        <w:t xml:space="preserve">ne, </w:t>
      </w:r>
      <w:r w:rsidR="0070589C" w:rsidRPr="00F36AAC">
        <w:rPr>
          <w:b w:val="0"/>
          <w:bCs w:val="0"/>
          <w:i/>
          <w:iCs/>
          <w:color w:val="000000"/>
          <w:spacing w:val="8"/>
        </w:rPr>
        <w:t>It’s Great That We Talk About ‘Food Deserts’ — But It Might Be Time To Stop,</w:t>
      </w:r>
      <w:r w:rsidR="0070589C" w:rsidRPr="00F36AAC">
        <w:rPr>
          <w:b w:val="0"/>
          <w:bCs w:val="0"/>
          <w:color w:val="000000"/>
          <w:spacing w:val="8"/>
        </w:rPr>
        <w:t xml:space="preserve"> HuffPost, July 4, 2019, </w:t>
      </w:r>
      <w:hyperlink r:id="rId75" w:history="1">
        <w:r w:rsidR="0070589C" w:rsidRPr="00F36AAC">
          <w:rPr>
            <w:rStyle w:val="Hyperlink"/>
            <w:rFonts w:eastAsiaTheme="majorEastAsia"/>
            <w:b w:val="0"/>
            <w:bCs w:val="0"/>
          </w:rPr>
          <w:t>https://www.huffpost.com/entry/food-desert-problem-access-healthy-options_n_5d1b910ee4b082e55370dee5</w:t>
        </w:r>
      </w:hyperlink>
    </w:p>
    <w:p w14:paraId="7BE55B09" w14:textId="77777777" w:rsidR="0070589C" w:rsidRPr="00F36AAC" w:rsidRDefault="0070589C" w:rsidP="0070589C">
      <w:pPr>
        <w:pStyle w:val="BodyText"/>
        <w:kinsoku w:val="0"/>
        <w:overflowPunct w:val="0"/>
        <w:jc w:val="both"/>
      </w:pPr>
    </w:p>
    <w:p w14:paraId="28E26EFE" w14:textId="77777777" w:rsidR="0070589C" w:rsidRPr="00F36AAC" w:rsidRDefault="0070589C" w:rsidP="0070589C">
      <w:pPr>
        <w:pStyle w:val="BodyText"/>
        <w:kinsoku w:val="0"/>
        <w:overflowPunct w:val="0"/>
        <w:jc w:val="both"/>
      </w:pPr>
    </w:p>
    <w:p w14:paraId="5FF4A51B" w14:textId="77777777" w:rsidR="0070589C" w:rsidRDefault="0070589C" w:rsidP="0070589C">
      <w:pPr>
        <w:tabs>
          <w:tab w:val="left" w:pos="563"/>
        </w:tabs>
        <w:kinsoku w:val="0"/>
        <w:overflowPunct w:val="0"/>
        <w:jc w:val="both"/>
        <w:rPr>
          <w:b/>
          <w:bCs/>
        </w:rPr>
      </w:pPr>
    </w:p>
    <w:p w14:paraId="476EE363" w14:textId="77777777" w:rsidR="0070589C" w:rsidRPr="00C13864" w:rsidRDefault="0070589C" w:rsidP="0070589C">
      <w:pPr>
        <w:tabs>
          <w:tab w:val="left" w:pos="563"/>
        </w:tabs>
        <w:kinsoku w:val="0"/>
        <w:overflowPunct w:val="0"/>
        <w:jc w:val="center"/>
        <w:rPr>
          <w:b/>
          <w:bCs/>
          <w:i/>
          <w:iCs/>
          <w:sz w:val="28"/>
          <w:szCs w:val="28"/>
        </w:rPr>
      </w:pPr>
      <w:r w:rsidRPr="00C13864">
        <w:rPr>
          <w:b/>
          <w:bCs/>
          <w:i/>
          <w:iCs/>
          <w:sz w:val="28"/>
          <w:szCs w:val="28"/>
        </w:rPr>
        <w:t>Notes and Questions</w:t>
      </w:r>
    </w:p>
    <w:p w14:paraId="041619FF" w14:textId="77777777" w:rsidR="0070589C" w:rsidRPr="00F36AAC" w:rsidRDefault="0070589C" w:rsidP="0070589C">
      <w:pPr>
        <w:tabs>
          <w:tab w:val="left" w:pos="563"/>
        </w:tabs>
        <w:kinsoku w:val="0"/>
        <w:overflowPunct w:val="0"/>
        <w:jc w:val="both"/>
      </w:pPr>
    </w:p>
    <w:p w14:paraId="36885F50" w14:textId="2EC80E71" w:rsidR="0070589C" w:rsidRPr="00B35D9A" w:rsidRDefault="00B35D9A" w:rsidP="00B35D9A">
      <w:pPr>
        <w:ind w:right="540" w:firstLine="360"/>
        <w:jc w:val="both"/>
        <w:rPr>
          <w:color w:val="000000" w:themeColor="text1"/>
          <w:sz w:val="24"/>
          <w:szCs w:val="24"/>
        </w:rPr>
      </w:pPr>
      <w:r>
        <w:rPr>
          <w:rFonts w:eastAsiaTheme="minorHAnsi"/>
          <w:b/>
          <w:bCs/>
          <w:color w:val="000000" w:themeColor="text1"/>
          <w:sz w:val="24"/>
          <w:szCs w:val="24"/>
        </w:rPr>
        <w:t xml:space="preserve">1.  </w:t>
      </w:r>
      <w:r w:rsidR="0070589C" w:rsidRPr="00B35D9A">
        <w:rPr>
          <w:rFonts w:eastAsiaTheme="minorHAnsi"/>
          <w:b/>
          <w:bCs/>
          <w:color w:val="000000" w:themeColor="text1"/>
          <w:sz w:val="24"/>
          <w:szCs w:val="24"/>
        </w:rPr>
        <w:t>Food desert.</w:t>
      </w:r>
      <w:r w:rsidR="0070589C" w:rsidRPr="00B35D9A">
        <w:rPr>
          <w:rFonts w:eastAsiaTheme="minorHAnsi"/>
          <w:color w:val="000000" w:themeColor="text1"/>
          <w:sz w:val="24"/>
          <w:szCs w:val="24"/>
        </w:rPr>
        <w:t xml:space="preserve"> You can have students go to the Fo</w:t>
      </w:r>
      <w:r>
        <w:rPr>
          <w:rFonts w:eastAsiaTheme="minorHAnsi"/>
          <w:color w:val="000000" w:themeColor="text1"/>
          <w:sz w:val="24"/>
          <w:szCs w:val="24"/>
        </w:rPr>
        <w:t xml:space="preserve">od Access Atlas, located on the </w:t>
      </w:r>
      <w:r w:rsidR="0070589C" w:rsidRPr="00B35D9A">
        <w:rPr>
          <w:rFonts w:eastAsiaTheme="minorHAnsi"/>
          <w:color w:val="000000" w:themeColor="text1"/>
          <w:sz w:val="24"/>
          <w:szCs w:val="24"/>
        </w:rPr>
        <w:t>USDA</w:t>
      </w:r>
      <w:r>
        <w:rPr>
          <w:rFonts w:eastAsiaTheme="minorHAnsi"/>
          <w:color w:val="000000" w:themeColor="text1"/>
          <w:sz w:val="24"/>
          <w:szCs w:val="24"/>
        </w:rPr>
        <w:t xml:space="preserve">  </w:t>
      </w:r>
      <w:r w:rsidR="0070589C" w:rsidRPr="00B35D9A">
        <w:rPr>
          <w:rFonts w:eastAsiaTheme="minorHAnsi"/>
          <w:color w:val="000000" w:themeColor="text1"/>
          <w:sz w:val="24"/>
          <w:szCs w:val="24"/>
        </w:rPr>
        <w:t xml:space="preserve">website at: </w:t>
      </w:r>
      <w:hyperlink r:id="rId76" w:history="1">
        <w:r w:rsidR="0070589C" w:rsidRPr="00B35D9A">
          <w:rPr>
            <w:rStyle w:val="Hyperlink"/>
            <w:rFonts w:eastAsiaTheme="majorEastAsia"/>
            <w:sz w:val="24"/>
            <w:szCs w:val="24"/>
          </w:rPr>
          <w:t>https://www.ers.usda.gov/data-products/food-access-research-atlas/</w:t>
        </w:r>
      </w:hyperlink>
      <w:r w:rsidR="0070589C" w:rsidRPr="00B35D9A">
        <w:rPr>
          <w:color w:val="000000" w:themeColor="text1"/>
          <w:sz w:val="24"/>
          <w:szCs w:val="24"/>
        </w:rPr>
        <w:t xml:space="preserve"> to find their proximity to a food desert. </w:t>
      </w:r>
    </w:p>
    <w:p w14:paraId="28BD5AF4" w14:textId="77777777" w:rsidR="0070589C" w:rsidRPr="00C13864" w:rsidRDefault="0070589C" w:rsidP="0070589C">
      <w:pPr>
        <w:jc w:val="both"/>
        <w:rPr>
          <w:color w:val="000000" w:themeColor="text1"/>
          <w:sz w:val="24"/>
          <w:szCs w:val="24"/>
        </w:rPr>
      </w:pPr>
    </w:p>
    <w:p w14:paraId="035702C9" w14:textId="4CAE4F15" w:rsidR="0070589C" w:rsidRPr="00B35D9A" w:rsidRDefault="00B35D9A" w:rsidP="00B35D9A">
      <w:pPr>
        <w:ind w:firstLine="360"/>
        <w:jc w:val="both"/>
        <w:rPr>
          <w:rFonts w:eastAsiaTheme="minorHAnsi"/>
          <w:color w:val="000000" w:themeColor="text1"/>
          <w:sz w:val="24"/>
          <w:szCs w:val="24"/>
        </w:rPr>
      </w:pPr>
      <w:r w:rsidRPr="00B35D9A">
        <w:rPr>
          <w:rFonts w:eastAsiaTheme="minorHAnsi"/>
          <w:b/>
          <w:bCs/>
          <w:color w:val="000000" w:themeColor="text1"/>
          <w:sz w:val="24"/>
          <w:szCs w:val="24"/>
        </w:rPr>
        <w:t xml:space="preserve">2.  </w:t>
      </w:r>
      <w:r w:rsidR="0070589C" w:rsidRPr="00B35D9A">
        <w:rPr>
          <w:rFonts w:eastAsiaTheme="minorHAnsi"/>
          <w:b/>
          <w:bCs/>
          <w:color w:val="000000" w:themeColor="text1"/>
          <w:sz w:val="24"/>
          <w:szCs w:val="24"/>
        </w:rPr>
        <w:t>Food “mirage.”</w:t>
      </w:r>
      <w:r w:rsidR="0070589C" w:rsidRPr="00B35D9A">
        <w:rPr>
          <w:rFonts w:eastAsiaTheme="minorHAnsi"/>
          <w:color w:val="000000" w:themeColor="text1"/>
          <w:sz w:val="24"/>
          <w:szCs w:val="24"/>
        </w:rPr>
        <w:t xml:space="preserve"> This question is self-explanatory.</w:t>
      </w:r>
    </w:p>
    <w:p w14:paraId="3C1278B7" w14:textId="77777777" w:rsidR="0070589C" w:rsidRDefault="0070589C" w:rsidP="0070589C">
      <w:pPr>
        <w:ind w:right="540"/>
        <w:jc w:val="both"/>
        <w:rPr>
          <w:rFonts w:eastAsiaTheme="minorHAnsi"/>
          <w:b/>
          <w:bCs/>
          <w:color w:val="000000" w:themeColor="text1"/>
        </w:rPr>
      </w:pPr>
    </w:p>
    <w:p w14:paraId="2BADD7F4" w14:textId="3D69188D" w:rsidR="0070589C" w:rsidRPr="00B35D9A" w:rsidRDefault="00B35D9A" w:rsidP="00B35D9A">
      <w:pPr>
        <w:ind w:right="540" w:firstLine="360"/>
        <w:jc w:val="both"/>
        <w:rPr>
          <w:color w:val="000000" w:themeColor="text1"/>
          <w:sz w:val="24"/>
          <w:szCs w:val="24"/>
        </w:rPr>
      </w:pPr>
      <w:r w:rsidRPr="00B35D9A">
        <w:rPr>
          <w:rFonts w:eastAsiaTheme="minorHAnsi"/>
          <w:b/>
          <w:bCs/>
          <w:color w:val="000000" w:themeColor="text1"/>
          <w:sz w:val="24"/>
          <w:szCs w:val="24"/>
        </w:rPr>
        <w:t xml:space="preserve">3.  </w:t>
      </w:r>
      <w:r w:rsidR="0070589C" w:rsidRPr="00B35D9A">
        <w:rPr>
          <w:rFonts w:eastAsiaTheme="minorHAnsi"/>
          <w:b/>
          <w:bCs/>
          <w:color w:val="000000" w:themeColor="text1"/>
          <w:sz w:val="24"/>
          <w:szCs w:val="24"/>
        </w:rPr>
        <w:t>“Hispanics aren’t into” fresh food?</w:t>
      </w:r>
      <w:r w:rsidR="0070589C" w:rsidRPr="00B35D9A">
        <w:rPr>
          <w:rFonts w:eastAsiaTheme="minorHAnsi"/>
          <w:color w:val="000000" w:themeColor="text1"/>
          <w:sz w:val="24"/>
          <w:szCs w:val="24"/>
        </w:rPr>
        <w:t xml:space="preserve"> Answers will vary. Ask students to consider issues relating to agency and community involved in food choice.  In a</w:t>
      </w:r>
      <w:r w:rsidR="0070589C" w:rsidRPr="00B35D9A">
        <w:rPr>
          <w:color w:val="000000" w:themeColor="text1"/>
          <w:sz w:val="24"/>
          <w:szCs w:val="24"/>
        </w:rPr>
        <w:t xml:space="preserve"> study of 448 block groups in New York, African American block groups had fewer opportunities to obtain healthy foods and greater access to fast-food restaurants than other ethnic block groups. Inequities in the availability of national and local fast-food restaurants within a single-minority community were reported in a study of 165 census block groups in a low-income neighborhood of East Harlem, New York, where predominantly Hispanic census blocks had a higher proportion of fast-food restaurants than did racially mixed census blocks. In a study of 216 census tracts in Mississippi, North Carolina, Maryland, and Minnesota, fast-food restaurants were twice as common in racially mixed neighborhoods as in predominantly African American neighborhoods. Meanwhile, a study in King County, Washington, and a national study detected no associations between a greater prevalence of fast-food restaurants and the proportion of non-White residents. In King County, however, the census tracts examined had little ethnic variability: about 85% of the population was White. </w:t>
      </w:r>
      <w:r w:rsidR="0070589C" w:rsidRPr="00B35D9A">
        <w:rPr>
          <w:i/>
          <w:color w:val="000000" w:themeColor="text1"/>
          <w:sz w:val="24"/>
          <w:szCs w:val="24"/>
        </w:rPr>
        <w:t>See</w:t>
      </w:r>
      <w:r w:rsidR="0070589C" w:rsidRPr="00B35D9A">
        <w:rPr>
          <w:color w:val="000000" w:themeColor="text1"/>
          <w:sz w:val="24"/>
          <w:szCs w:val="24"/>
        </w:rPr>
        <w:t xml:space="preserve"> Angela </w:t>
      </w:r>
      <w:r w:rsidR="0070589C" w:rsidRPr="00B35D9A">
        <w:rPr>
          <w:color w:val="000000" w:themeColor="text1"/>
          <w:sz w:val="24"/>
          <w:szCs w:val="24"/>
          <w:shd w:val="clear" w:color="auto" w:fill="FFFFFF"/>
        </w:rPr>
        <w:t xml:space="preserve">Hilmers, </w:t>
      </w:r>
      <w:r w:rsidR="0070589C" w:rsidRPr="00B35D9A">
        <w:rPr>
          <w:i/>
          <w:color w:val="000000" w:themeColor="text1"/>
          <w:sz w:val="24"/>
          <w:szCs w:val="24"/>
          <w:shd w:val="clear" w:color="auto" w:fill="FFFFFF"/>
        </w:rPr>
        <w:t>et al</w:t>
      </w:r>
      <w:r w:rsidR="0070589C" w:rsidRPr="00B35D9A">
        <w:rPr>
          <w:color w:val="000000" w:themeColor="text1"/>
          <w:sz w:val="24"/>
          <w:szCs w:val="24"/>
          <w:shd w:val="clear" w:color="auto" w:fill="FFFFFF"/>
        </w:rPr>
        <w:t xml:space="preserve">., </w:t>
      </w:r>
      <w:r w:rsidR="0070589C" w:rsidRPr="00B35D9A">
        <w:rPr>
          <w:i/>
          <w:iCs/>
          <w:color w:val="000000" w:themeColor="text1"/>
          <w:sz w:val="24"/>
          <w:szCs w:val="24"/>
          <w:shd w:val="clear" w:color="auto" w:fill="FFFFFF"/>
        </w:rPr>
        <w:t xml:space="preserve">Neighborhood disparities in access to healthy foods and their effects on environmental justice, </w:t>
      </w:r>
      <w:r w:rsidR="0070589C" w:rsidRPr="00B35D9A">
        <w:rPr>
          <w:color w:val="000000" w:themeColor="text1"/>
          <w:sz w:val="24"/>
          <w:szCs w:val="24"/>
          <w:shd w:val="clear" w:color="auto" w:fill="FFFFFF"/>
        </w:rPr>
        <w:t>102 </w:t>
      </w:r>
      <w:r w:rsidR="0070589C" w:rsidRPr="00B35D9A">
        <w:rPr>
          <w:smallCaps/>
          <w:color w:val="000000" w:themeColor="text1"/>
          <w:sz w:val="24"/>
          <w:szCs w:val="24"/>
          <w:shd w:val="clear" w:color="auto" w:fill="FFFFFF"/>
        </w:rPr>
        <w:t>Am</w:t>
      </w:r>
      <w:r w:rsidR="008E42DE">
        <w:rPr>
          <w:smallCaps/>
          <w:color w:val="000000" w:themeColor="text1"/>
          <w:sz w:val="24"/>
          <w:szCs w:val="24"/>
          <w:shd w:val="clear" w:color="auto" w:fill="FFFFFF"/>
        </w:rPr>
        <w:t>. J. P</w:t>
      </w:r>
      <w:r w:rsidR="0070589C" w:rsidRPr="00B35D9A">
        <w:rPr>
          <w:smallCaps/>
          <w:color w:val="000000" w:themeColor="text1"/>
          <w:sz w:val="24"/>
          <w:szCs w:val="24"/>
          <w:shd w:val="clear" w:color="auto" w:fill="FFFFFF"/>
        </w:rPr>
        <w:t>ub</w:t>
      </w:r>
      <w:r w:rsidR="008E42DE">
        <w:rPr>
          <w:smallCaps/>
          <w:color w:val="000000" w:themeColor="text1"/>
          <w:sz w:val="24"/>
          <w:szCs w:val="24"/>
          <w:shd w:val="clear" w:color="auto" w:fill="FFFFFF"/>
        </w:rPr>
        <w:t>.</w:t>
      </w:r>
      <w:r w:rsidR="0070589C" w:rsidRPr="00B35D9A">
        <w:rPr>
          <w:smallCaps/>
          <w:color w:val="000000" w:themeColor="text1"/>
          <w:sz w:val="24"/>
          <w:szCs w:val="24"/>
          <w:shd w:val="clear" w:color="auto" w:fill="FFFFFF"/>
        </w:rPr>
        <w:t xml:space="preserve"> health</w:t>
      </w:r>
      <w:r w:rsidR="0070589C" w:rsidRPr="00B35D9A">
        <w:rPr>
          <w:color w:val="000000" w:themeColor="text1"/>
          <w:sz w:val="24"/>
          <w:szCs w:val="24"/>
          <w:shd w:val="clear" w:color="auto" w:fill="FFFFFF"/>
        </w:rPr>
        <w:t xml:space="preserve"> 1644–1654 (2012) </w:t>
      </w:r>
      <w:hyperlink r:id="rId77" w:history="1">
        <w:r w:rsidR="0070589C" w:rsidRPr="00B35D9A">
          <w:rPr>
            <w:rStyle w:val="Hyperlink"/>
            <w:color w:val="000000" w:themeColor="text1"/>
            <w:sz w:val="24"/>
            <w:szCs w:val="24"/>
            <w:shd w:val="clear" w:color="auto" w:fill="FFFFFF"/>
          </w:rPr>
          <w:t>https://doi.org/10.2105/AJPH.2012.300865</w:t>
        </w:r>
      </w:hyperlink>
      <w:r w:rsidR="0070589C" w:rsidRPr="00B35D9A">
        <w:rPr>
          <w:color w:val="000000" w:themeColor="text1"/>
          <w:sz w:val="24"/>
          <w:szCs w:val="24"/>
          <w:shd w:val="clear" w:color="auto" w:fill="FFFFFF"/>
        </w:rPr>
        <w:t xml:space="preserve">. </w:t>
      </w:r>
    </w:p>
    <w:p w14:paraId="47426C74" w14:textId="77777777" w:rsidR="0070589C" w:rsidRPr="00B35D9A" w:rsidRDefault="0070589C" w:rsidP="0070589C">
      <w:pPr>
        <w:ind w:right="540"/>
        <w:jc w:val="both"/>
        <w:rPr>
          <w:color w:val="000000" w:themeColor="text1"/>
          <w:sz w:val="24"/>
          <w:szCs w:val="24"/>
        </w:rPr>
      </w:pPr>
    </w:p>
    <w:p w14:paraId="5A477C8D" w14:textId="77777777" w:rsidR="0070589C" w:rsidRDefault="0070589C" w:rsidP="0070589C">
      <w:pPr>
        <w:ind w:right="540" w:firstLine="720"/>
        <w:jc w:val="both"/>
        <w:rPr>
          <w:color w:val="000000" w:themeColor="text1"/>
          <w:sz w:val="24"/>
          <w:szCs w:val="24"/>
        </w:rPr>
      </w:pPr>
      <w:r w:rsidRPr="00C13864">
        <w:rPr>
          <w:color w:val="000000" w:themeColor="text1"/>
          <w:sz w:val="24"/>
          <w:szCs w:val="24"/>
          <w:shd w:val="clear" w:color="auto" w:fill="FFFFFF"/>
        </w:rPr>
        <w:t xml:space="preserve">An activity to consider related to this question is </w:t>
      </w:r>
      <w:r w:rsidRPr="00C13864">
        <w:rPr>
          <w:color w:val="000000" w:themeColor="text1"/>
          <w:sz w:val="24"/>
          <w:szCs w:val="24"/>
        </w:rPr>
        <w:t xml:space="preserve">to divide into two groups, one to brainstorm about the causes of food deserts and the other to brainstorm about the consequences. You can find additional information in the sites/reports listed above. The causes group should think about why supermarkets, convenience stores, and fast food restaurants might build or develop in a certain area; how geography and distance play a role; why a business may not want to build in a certain neighborhood; economics; and demographics. The consequences group should think about personal, economic, national, health-related and social consequences. Each group should present to the other, with the opposite group adding any new information.” See </w:t>
      </w:r>
      <w:r w:rsidRPr="00C13864">
        <w:rPr>
          <w:i/>
          <w:iCs/>
          <w:color w:val="000000" w:themeColor="text1"/>
          <w:sz w:val="24"/>
          <w:szCs w:val="24"/>
        </w:rPr>
        <w:t>Food Deserts: Causes, Consequences, and Solutions,</w:t>
      </w:r>
      <w:r w:rsidRPr="00C13864">
        <w:rPr>
          <w:color w:val="000000" w:themeColor="text1"/>
          <w:sz w:val="24"/>
          <w:szCs w:val="24"/>
        </w:rPr>
        <w:t xml:space="preserve"> </w:t>
      </w:r>
      <w:hyperlink r:id="rId78" w:history="1">
        <w:r w:rsidRPr="00C13864">
          <w:rPr>
            <w:rStyle w:val="Hyperlink"/>
            <w:rFonts w:eastAsiaTheme="majorEastAsia"/>
            <w:color w:val="000000" w:themeColor="text1"/>
            <w:sz w:val="24"/>
            <w:szCs w:val="24"/>
          </w:rPr>
          <w:t>https://www.tolerance.org/lesson/food-deserts-causes-consequences-and-solutions</w:t>
        </w:r>
      </w:hyperlink>
      <w:r w:rsidRPr="00C13864">
        <w:rPr>
          <w:color w:val="000000" w:themeColor="text1"/>
          <w:sz w:val="24"/>
          <w:szCs w:val="24"/>
        </w:rPr>
        <w:t xml:space="preserve">. </w:t>
      </w:r>
    </w:p>
    <w:p w14:paraId="038201F8" w14:textId="77777777" w:rsidR="0070589C" w:rsidRPr="00C13864" w:rsidRDefault="0070589C" w:rsidP="0070589C">
      <w:pPr>
        <w:ind w:right="540" w:firstLine="720"/>
        <w:jc w:val="both"/>
        <w:rPr>
          <w:color w:val="000000" w:themeColor="text1"/>
          <w:sz w:val="24"/>
          <w:szCs w:val="24"/>
        </w:rPr>
      </w:pPr>
    </w:p>
    <w:p w14:paraId="2D924B48" w14:textId="77777777" w:rsidR="0070589C" w:rsidRPr="00C13864" w:rsidRDefault="0070589C" w:rsidP="0070589C">
      <w:pPr>
        <w:ind w:right="540" w:firstLine="720"/>
        <w:jc w:val="both"/>
        <w:rPr>
          <w:color w:val="000000" w:themeColor="text1"/>
          <w:sz w:val="24"/>
          <w:szCs w:val="24"/>
        </w:rPr>
      </w:pPr>
      <w:r w:rsidRPr="00C13864">
        <w:rPr>
          <w:color w:val="000000" w:themeColor="text1"/>
          <w:sz w:val="24"/>
          <w:szCs w:val="24"/>
        </w:rPr>
        <w:lastRenderedPageBreak/>
        <w:t xml:space="preserve">Consider the consequences of the decision of </w:t>
      </w:r>
      <w:r w:rsidRPr="00C13864">
        <w:rPr>
          <w:rStyle w:val="Emphasis"/>
          <w:color w:val="000000" w:themeColor="text1"/>
          <w:sz w:val="24"/>
          <w:szCs w:val="24"/>
        </w:rPr>
        <w:t>Masterpiece Cakeshop, Ltd. v. Charlie Craig &amp; David Mullins</w:t>
      </w:r>
      <w:r w:rsidRPr="00C13864">
        <w:rPr>
          <w:color w:val="000000" w:themeColor="text1"/>
          <w:sz w:val="24"/>
          <w:szCs w:val="24"/>
        </w:rPr>
        <w:t>, 584 U.S. __ (2018), which involved a Colorado bakery that refused to serve a same-sex couple who wanted to purchase a cake for their wedding reception. How does food choice also impact dignity rights and rights to food choice?</w:t>
      </w:r>
    </w:p>
    <w:p w14:paraId="605EC7DF" w14:textId="77777777" w:rsidR="0070589C" w:rsidRPr="00F36AAC" w:rsidRDefault="0070589C" w:rsidP="0070589C">
      <w:pPr>
        <w:jc w:val="both"/>
      </w:pPr>
    </w:p>
    <w:p w14:paraId="2F269120" w14:textId="5B94BBD1" w:rsidR="0070589C" w:rsidRPr="00C13864" w:rsidRDefault="008E42DE" w:rsidP="00307558">
      <w:pPr>
        <w:numPr>
          <w:ilvl w:val="0"/>
          <w:numId w:val="35"/>
        </w:numPr>
        <w:tabs>
          <w:tab w:val="left" w:pos="563"/>
        </w:tabs>
        <w:kinsoku w:val="0"/>
        <w:overflowPunct w:val="0"/>
        <w:jc w:val="both"/>
        <w:rPr>
          <w:b/>
          <w:bCs/>
          <w:sz w:val="24"/>
          <w:szCs w:val="24"/>
        </w:rPr>
      </w:pPr>
      <w:r>
        <w:rPr>
          <w:b/>
          <w:bCs/>
          <w:sz w:val="24"/>
          <w:szCs w:val="24"/>
        </w:rPr>
        <w:t>The Energy-Food-</w:t>
      </w:r>
      <w:r w:rsidR="0070589C" w:rsidRPr="00C13864">
        <w:rPr>
          <w:b/>
          <w:bCs/>
          <w:sz w:val="24"/>
          <w:szCs w:val="24"/>
        </w:rPr>
        <w:t>Water Nexus</w:t>
      </w:r>
    </w:p>
    <w:p w14:paraId="759A4DAA" w14:textId="77777777" w:rsidR="0070589C" w:rsidRPr="00F36AAC" w:rsidRDefault="0070589C" w:rsidP="0070589C">
      <w:pPr>
        <w:tabs>
          <w:tab w:val="left" w:pos="563"/>
        </w:tabs>
        <w:kinsoku w:val="0"/>
        <w:overflowPunct w:val="0"/>
        <w:jc w:val="both"/>
      </w:pPr>
    </w:p>
    <w:p w14:paraId="3BA2792E" w14:textId="32ABC7BC" w:rsidR="0070589C" w:rsidRPr="002D69E9" w:rsidRDefault="00D777F6" w:rsidP="0070589C">
      <w:pPr>
        <w:ind w:right="540" w:firstLine="360"/>
        <w:jc w:val="both"/>
        <w:rPr>
          <w:color w:val="333333"/>
          <w:sz w:val="24"/>
          <w:szCs w:val="24"/>
        </w:rPr>
      </w:pPr>
      <w:r>
        <w:rPr>
          <w:color w:val="333333"/>
          <w:sz w:val="24"/>
          <w:szCs w:val="24"/>
          <w:shd w:val="clear" w:color="auto" w:fill="FFFFFF"/>
        </w:rPr>
        <w:t>The energy-food-</w:t>
      </w:r>
      <w:r w:rsidR="0070589C" w:rsidRPr="002D69E9">
        <w:rPr>
          <w:color w:val="333333"/>
          <w:sz w:val="24"/>
          <w:szCs w:val="24"/>
          <w:shd w:val="clear" w:color="auto" w:fill="FFFFFF"/>
        </w:rPr>
        <w:t>water nexus is concerned</w:t>
      </w:r>
      <w:r w:rsidR="0070589C">
        <w:rPr>
          <w:color w:val="333333"/>
          <w:sz w:val="24"/>
          <w:szCs w:val="24"/>
          <w:shd w:val="clear" w:color="auto" w:fill="FFFFFF"/>
        </w:rPr>
        <w:t xml:space="preserve"> with</w:t>
      </w:r>
      <w:r w:rsidR="0070589C" w:rsidRPr="002D69E9">
        <w:rPr>
          <w:color w:val="333333"/>
          <w:sz w:val="24"/>
          <w:szCs w:val="24"/>
          <w:shd w:val="clear" w:color="auto" w:fill="FFFFFF"/>
        </w:rPr>
        <w:t xml:space="preserve"> the interrelated demand for all three, which is increasing, driven by a rising global population, rapid urbanization, changing diets and economic growth. Agriculture is the largest consumer of the world’s freshwater resources with more than one-quarter of the energy used globally is expended on food production and supply. </w:t>
      </w:r>
      <w:r w:rsidR="0070589C" w:rsidRPr="002D69E9">
        <w:rPr>
          <w:color w:val="333333"/>
          <w:sz w:val="24"/>
          <w:szCs w:val="24"/>
        </w:rPr>
        <w:t xml:space="preserve">The inextricable linkages between these critical domains necessitate a suitably integrated approach to ensuring water and food security, and sustainable agriculture and energy production worldwide. UN Water, Food, Energy, UN Water, </w:t>
      </w:r>
      <w:hyperlink r:id="rId79" w:history="1">
        <w:r w:rsidR="0070589C" w:rsidRPr="002D69E9">
          <w:rPr>
            <w:rStyle w:val="Hyperlink"/>
            <w:rFonts w:eastAsiaTheme="majorEastAsia"/>
            <w:sz w:val="24"/>
            <w:szCs w:val="24"/>
          </w:rPr>
          <w:t>https://www.unwater.org/water-facts/water-food-and-energy/</w:t>
        </w:r>
      </w:hyperlink>
      <w:r w:rsidR="0070589C" w:rsidRPr="002D69E9">
        <w:rPr>
          <w:sz w:val="24"/>
          <w:szCs w:val="24"/>
        </w:rPr>
        <w:t>.</w:t>
      </w:r>
    </w:p>
    <w:p w14:paraId="630FAE74" w14:textId="77777777" w:rsidR="0070589C" w:rsidRPr="00F36AAC" w:rsidRDefault="0070589C" w:rsidP="0070589C">
      <w:pPr>
        <w:tabs>
          <w:tab w:val="left" w:pos="563"/>
        </w:tabs>
        <w:kinsoku w:val="0"/>
        <w:overflowPunct w:val="0"/>
        <w:jc w:val="both"/>
      </w:pPr>
    </w:p>
    <w:p w14:paraId="6BA482B0" w14:textId="77777777" w:rsidR="0070589C" w:rsidRPr="00F36AAC" w:rsidRDefault="0070589C" w:rsidP="00307558">
      <w:pPr>
        <w:pStyle w:val="ListParagraph"/>
        <w:numPr>
          <w:ilvl w:val="0"/>
          <w:numId w:val="35"/>
        </w:numPr>
        <w:tabs>
          <w:tab w:val="left" w:pos="563"/>
        </w:tabs>
        <w:kinsoku w:val="0"/>
        <w:overflowPunct w:val="0"/>
        <w:ind w:left="562"/>
        <w:jc w:val="both"/>
        <w:rPr>
          <w:b/>
          <w:bCs/>
        </w:rPr>
      </w:pPr>
      <w:r w:rsidRPr="00F36AAC">
        <w:rPr>
          <w:b/>
          <w:bCs/>
        </w:rPr>
        <w:t>Food Security, Biofuels and Climate Change</w:t>
      </w:r>
    </w:p>
    <w:p w14:paraId="21367F05" w14:textId="77777777" w:rsidR="0070589C" w:rsidRPr="00F36AAC" w:rsidRDefault="0070589C" w:rsidP="0070589C">
      <w:pPr>
        <w:tabs>
          <w:tab w:val="left" w:pos="563"/>
        </w:tabs>
        <w:kinsoku w:val="0"/>
        <w:overflowPunct w:val="0"/>
        <w:jc w:val="both"/>
      </w:pPr>
    </w:p>
    <w:p w14:paraId="42B397A4" w14:textId="05E82132" w:rsidR="0070589C" w:rsidRPr="002D69E9" w:rsidRDefault="0070589C" w:rsidP="0070589C">
      <w:pPr>
        <w:ind w:right="540"/>
        <w:jc w:val="both"/>
        <w:rPr>
          <w:rFonts w:eastAsiaTheme="minorHAnsi"/>
          <w:sz w:val="24"/>
          <w:szCs w:val="24"/>
        </w:rPr>
      </w:pPr>
      <w:r w:rsidRPr="00F36AAC">
        <w:rPr>
          <w:rFonts w:eastAsiaTheme="minorHAnsi"/>
        </w:rPr>
        <w:tab/>
      </w:r>
      <w:r w:rsidRPr="002D69E9">
        <w:rPr>
          <w:rFonts w:eastAsiaTheme="minorHAnsi"/>
          <w:sz w:val="24"/>
          <w:szCs w:val="24"/>
        </w:rPr>
        <w:t>Agricultural and forest biofuels not only elevated environmental externalities, but also produced exceedingly steep social and economic impacts on food security, energy access, and water supply. U.S. biofuel policies influence international, national, and subnational systems for food, fuel, energy, and water. Bettering the lives of poor households is a pressing concern for</w:t>
      </w:r>
      <w:r>
        <w:rPr>
          <w:rFonts w:eastAsiaTheme="minorHAnsi"/>
          <w:sz w:val="24"/>
          <w:szCs w:val="24"/>
        </w:rPr>
        <w:t xml:space="preserve"> </w:t>
      </w:r>
      <w:r w:rsidRPr="002D69E9">
        <w:rPr>
          <w:rFonts w:eastAsiaTheme="minorHAnsi"/>
          <w:sz w:val="24"/>
          <w:szCs w:val="24"/>
        </w:rPr>
        <w:t>modernization and development in the twenty-first century. Despite the negative impacts on human health and economic disadvantages for the lack of energy access, limited progress has been made to improve energy access for the world’s poor. Measuring energy use and consumption requires basic assumptions such as “the type of energy consuming equipment . . . their sizes, efficiencies and intensity of use.” “Several different methods” have been used t</w:t>
      </w:r>
      <w:r>
        <w:rPr>
          <w:rFonts w:eastAsiaTheme="minorHAnsi"/>
          <w:sz w:val="24"/>
          <w:szCs w:val="24"/>
        </w:rPr>
        <w:t xml:space="preserve">o </w:t>
      </w:r>
      <w:r w:rsidRPr="002D69E9">
        <w:rPr>
          <w:rFonts w:eastAsiaTheme="minorHAnsi"/>
          <w:sz w:val="24"/>
          <w:szCs w:val="24"/>
        </w:rPr>
        <w:t>develop formulas for energy use and consumpti</w:t>
      </w:r>
      <w:r w:rsidR="00D777F6">
        <w:rPr>
          <w:rFonts w:eastAsiaTheme="minorHAnsi"/>
          <w:sz w:val="24"/>
          <w:szCs w:val="24"/>
        </w:rPr>
        <w:t>on. These formulas and calculat</w:t>
      </w:r>
      <w:r w:rsidRPr="002D69E9">
        <w:rPr>
          <w:rFonts w:eastAsiaTheme="minorHAnsi"/>
          <w:sz w:val="24"/>
          <w:szCs w:val="24"/>
        </w:rPr>
        <w:t xml:space="preserve">ons offer a means to measure energy poverty, providing insights into “unmet basic needs and depressed economic and educational opportunities that are particularly pervasive among women, children, and minorities.” See Nadia Ahmad, </w:t>
      </w:r>
      <w:r w:rsidRPr="00C13864">
        <w:rPr>
          <w:rFonts w:eastAsiaTheme="minorHAnsi"/>
          <w:i/>
          <w:iCs/>
          <w:sz w:val="24"/>
          <w:szCs w:val="24"/>
        </w:rPr>
        <w:t>Energy for Metropolis</w:t>
      </w:r>
      <w:r w:rsidRPr="002D69E9">
        <w:rPr>
          <w:rFonts w:eastAsiaTheme="minorHAnsi"/>
          <w:sz w:val="24"/>
          <w:szCs w:val="24"/>
        </w:rPr>
        <w:t xml:space="preserve">, </w:t>
      </w:r>
      <w:r w:rsidRPr="00C13864">
        <w:rPr>
          <w:rFonts w:eastAsiaTheme="minorHAnsi"/>
          <w:smallCaps/>
          <w:sz w:val="24"/>
          <w:szCs w:val="24"/>
        </w:rPr>
        <w:t>73 U</w:t>
      </w:r>
      <w:r w:rsidR="00B35D9A">
        <w:rPr>
          <w:rFonts w:eastAsiaTheme="minorHAnsi"/>
          <w:smallCaps/>
          <w:sz w:val="24"/>
          <w:szCs w:val="24"/>
        </w:rPr>
        <w:t>.</w:t>
      </w:r>
      <w:r w:rsidRPr="00C13864">
        <w:rPr>
          <w:rFonts w:eastAsiaTheme="minorHAnsi"/>
          <w:smallCaps/>
          <w:sz w:val="24"/>
          <w:szCs w:val="24"/>
        </w:rPr>
        <w:t xml:space="preserve"> Miami L. Rev</w:t>
      </w:r>
      <w:r w:rsidRPr="002D69E9">
        <w:rPr>
          <w:rFonts w:eastAsiaTheme="minorHAnsi"/>
          <w:sz w:val="24"/>
          <w:szCs w:val="24"/>
        </w:rPr>
        <w:t>. 258, 266 (2018).</w:t>
      </w:r>
    </w:p>
    <w:p w14:paraId="7ECD4A96" w14:textId="77777777" w:rsidR="0070589C" w:rsidRPr="00F36AAC" w:rsidRDefault="0070589C" w:rsidP="0070589C">
      <w:pPr>
        <w:tabs>
          <w:tab w:val="left" w:pos="563"/>
        </w:tabs>
        <w:kinsoku w:val="0"/>
        <w:overflowPunct w:val="0"/>
        <w:jc w:val="both"/>
      </w:pPr>
    </w:p>
    <w:p w14:paraId="24B35ECB" w14:textId="77777777" w:rsidR="0070589C" w:rsidRDefault="0070589C" w:rsidP="0070589C">
      <w:pPr>
        <w:tabs>
          <w:tab w:val="left" w:pos="563"/>
        </w:tabs>
        <w:kinsoku w:val="0"/>
        <w:overflowPunct w:val="0"/>
        <w:jc w:val="center"/>
        <w:rPr>
          <w:b/>
          <w:bCs/>
          <w:i/>
          <w:iCs/>
          <w:sz w:val="28"/>
          <w:szCs w:val="28"/>
        </w:rPr>
      </w:pPr>
      <w:r w:rsidRPr="002D69E9">
        <w:rPr>
          <w:b/>
          <w:bCs/>
          <w:i/>
          <w:iCs/>
          <w:sz w:val="28"/>
          <w:szCs w:val="28"/>
        </w:rPr>
        <w:t>Notes and Questions</w:t>
      </w:r>
    </w:p>
    <w:p w14:paraId="104866CB" w14:textId="77777777" w:rsidR="0070589C" w:rsidRDefault="0070589C" w:rsidP="0070589C">
      <w:pPr>
        <w:jc w:val="both"/>
        <w:rPr>
          <w:b/>
          <w:bCs/>
          <w:i/>
          <w:iCs/>
          <w:sz w:val="28"/>
          <w:szCs w:val="28"/>
        </w:rPr>
      </w:pPr>
    </w:p>
    <w:p w14:paraId="449C3371" w14:textId="0AEF329A" w:rsidR="0070589C" w:rsidRPr="002D69E9" w:rsidRDefault="0070589C" w:rsidP="00307558">
      <w:pPr>
        <w:pStyle w:val="ListParagraph"/>
        <w:numPr>
          <w:ilvl w:val="0"/>
          <w:numId w:val="37"/>
        </w:numPr>
        <w:ind w:left="0" w:right="540" w:firstLine="360"/>
        <w:jc w:val="both"/>
      </w:pPr>
      <w:r w:rsidRPr="002D69E9">
        <w:rPr>
          <w:b/>
          <w:bCs/>
        </w:rPr>
        <w:t>The climate change-food security connection.</w:t>
      </w:r>
      <w:r>
        <w:t xml:space="preserve"> </w:t>
      </w:r>
      <w:r w:rsidRPr="002D69E9">
        <w:t>The 2014 </w:t>
      </w:r>
      <w:r w:rsidRPr="002D69E9">
        <w:rPr>
          <w:rFonts w:eastAsiaTheme="majorEastAsia"/>
        </w:rPr>
        <w:t>Quadrennial Defense Review</w:t>
      </w:r>
      <w:r w:rsidRPr="002D69E9">
        <w:t xml:space="preserve"> marked a turning point in how the Unite</w:t>
      </w:r>
      <w:r>
        <w:t xml:space="preserve">d </w:t>
      </w:r>
      <w:r w:rsidRPr="002D69E9">
        <w:t xml:space="preserve">States thinks about the issue of climate change. For the first time, the Department of Defense cited climate change as a “threat multiplier” and noted that “the impacts of climate change may increase the frequency, scale, and complexity of future missions.” This position results from the steady advancement in academic research that links climate change, food security, and water access to global instability. The link between climate change and global instability often runs through our food systems. Chase Sova, Kimberley Flowers, </w:t>
      </w:r>
      <w:r w:rsidR="00D777F6">
        <w:t>&amp;</w:t>
      </w:r>
      <w:r w:rsidRPr="002D69E9">
        <w:t xml:space="preserve"> Christian Man, </w:t>
      </w:r>
      <w:r w:rsidRPr="00D777F6">
        <w:rPr>
          <w:i/>
        </w:rPr>
        <w:t>Climate Change and Food Security: A Test of U.S. Leadership in a Fragile World</w:t>
      </w:r>
      <w:r w:rsidRPr="002D69E9">
        <w:t>, Center for Strategic and International Studies, Center for Strategic &amp; International Studies, Oct</w:t>
      </w:r>
      <w:r w:rsidR="008E42DE">
        <w:t xml:space="preserve">. </w:t>
      </w:r>
      <w:r w:rsidRPr="002D69E9">
        <w:t xml:space="preserve">15, 2019, </w:t>
      </w:r>
      <w:hyperlink r:id="rId80" w:history="1">
        <w:r w:rsidRPr="002D69E9">
          <w:rPr>
            <w:rStyle w:val="Hyperlink"/>
            <w:rFonts w:eastAsiaTheme="majorEastAsia"/>
          </w:rPr>
          <w:t>https://www.csis.org/analysis/climate-change-and-food-security-test-us-leadership-fragile-world</w:t>
        </w:r>
      </w:hyperlink>
      <w:r w:rsidRPr="002D69E9">
        <w:t xml:space="preserve">. </w:t>
      </w:r>
    </w:p>
    <w:p w14:paraId="376E4AA5" w14:textId="77777777" w:rsidR="0070589C" w:rsidRDefault="0070589C" w:rsidP="0070589C">
      <w:pPr>
        <w:ind w:firstLine="720"/>
        <w:jc w:val="both"/>
      </w:pPr>
    </w:p>
    <w:p w14:paraId="1D32788E" w14:textId="77777777" w:rsidR="0070589C" w:rsidRPr="00F36AAC" w:rsidRDefault="0070589C" w:rsidP="0070589C">
      <w:pPr>
        <w:jc w:val="both"/>
        <w:rPr>
          <w:rFonts w:eastAsiaTheme="minorHAnsi"/>
        </w:rPr>
      </w:pPr>
    </w:p>
    <w:p w14:paraId="3447A68B" w14:textId="77777777" w:rsidR="0070589C" w:rsidRPr="00F36AAC" w:rsidRDefault="0070589C" w:rsidP="0070589C">
      <w:pPr>
        <w:ind w:right="540"/>
        <w:jc w:val="both"/>
        <w:rPr>
          <w:rFonts w:eastAsiaTheme="minorHAnsi"/>
        </w:rPr>
      </w:pPr>
      <w:r w:rsidRPr="00F36AAC">
        <w:rPr>
          <w:noProof/>
        </w:rPr>
        <w:drawing>
          <wp:inline distT="0" distB="0" distL="0" distR="0" wp14:anchorId="2B8A7147" wp14:editId="7A65C284">
            <wp:extent cx="5506423" cy="2515235"/>
            <wp:effectExtent l="19050" t="19050" r="18415" b="18415"/>
            <wp:docPr id="3" name="Picture 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screenshot of a cell phone&#10;&#10;Description automatically generated"/>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520493" cy="2521662"/>
                    </a:xfrm>
                    <a:prstGeom prst="rect">
                      <a:avLst/>
                    </a:prstGeom>
                    <a:noFill/>
                    <a:ln w="12700">
                      <a:solidFill>
                        <a:schemeClr val="tx1"/>
                      </a:solidFill>
                    </a:ln>
                  </pic:spPr>
                </pic:pic>
              </a:graphicData>
            </a:graphic>
          </wp:inline>
        </w:drawing>
      </w:r>
    </w:p>
    <w:p w14:paraId="3BCCFCDC" w14:textId="396A27DC" w:rsidR="0070589C" w:rsidRPr="00F36AAC" w:rsidRDefault="0070589C" w:rsidP="0070589C">
      <w:pPr>
        <w:ind w:right="540"/>
        <w:jc w:val="both"/>
        <w:rPr>
          <w:rStyle w:val="image-caption"/>
          <w:i/>
          <w:iCs/>
          <w:color w:val="101010"/>
          <w:shd w:val="clear" w:color="auto" w:fill="FFFFFF"/>
        </w:rPr>
      </w:pPr>
      <w:r w:rsidRPr="00973859">
        <w:rPr>
          <w:rStyle w:val="image-caption"/>
          <w:iCs/>
          <w:color w:val="101010"/>
          <w:shd w:val="clear" w:color="auto" w:fill="FFFFFF"/>
        </w:rPr>
        <w:t>Source:</w:t>
      </w:r>
      <w:r w:rsidRPr="00F36AAC">
        <w:rPr>
          <w:rStyle w:val="image-caption"/>
          <w:i/>
          <w:iCs/>
          <w:color w:val="101010"/>
          <w:shd w:val="clear" w:color="auto" w:fill="FFFFFF"/>
        </w:rPr>
        <w:t xml:space="preserve"> </w:t>
      </w:r>
      <w:r w:rsidRPr="00973859">
        <w:rPr>
          <w:rStyle w:val="image-caption"/>
          <w:iCs/>
          <w:color w:val="101010"/>
          <w:shd w:val="clear" w:color="auto" w:fill="FFFFFF"/>
        </w:rPr>
        <w:t>Andrew J. Challinor</w:t>
      </w:r>
      <w:r w:rsidR="008E42DE">
        <w:rPr>
          <w:rStyle w:val="image-caption"/>
          <w:iCs/>
          <w:color w:val="101010"/>
          <w:shd w:val="clear" w:color="auto" w:fill="FFFFFF"/>
        </w:rPr>
        <w:t>,</w:t>
      </w:r>
      <w:r w:rsidRPr="00F36AAC">
        <w:rPr>
          <w:rStyle w:val="image-caption"/>
          <w:i/>
          <w:iCs/>
          <w:color w:val="101010"/>
          <w:shd w:val="clear" w:color="auto" w:fill="FFFFFF"/>
        </w:rPr>
        <w:t xml:space="preserve"> et al., Climate Change 2014: Impacts, Adaptation, and Vulnerability </w:t>
      </w:r>
      <w:r w:rsidRPr="00973859">
        <w:rPr>
          <w:rStyle w:val="image-caption"/>
          <w:iCs/>
          <w:color w:val="101010"/>
          <w:shd w:val="clear" w:color="auto" w:fill="FFFFFF"/>
        </w:rPr>
        <w:t>(New York: IPCC, 2014),</w:t>
      </w:r>
      <w:r w:rsidRPr="00F36AAC">
        <w:rPr>
          <w:rStyle w:val="image-caption"/>
          <w:i/>
          <w:iCs/>
          <w:color w:val="101010"/>
          <w:shd w:val="clear" w:color="auto" w:fill="FFFFFF"/>
        </w:rPr>
        <w:t xml:space="preserve"> </w:t>
      </w:r>
      <w:hyperlink r:id="rId82" w:history="1">
        <w:r w:rsidRPr="00F36AAC">
          <w:rPr>
            <w:rStyle w:val="Hyperlink"/>
            <w:i/>
            <w:iCs/>
            <w:shd w:val="clear" w:color="auto" w:fill="FFFFFF"/>
          </w:rPr>
          <w:t>https://www.ipcc.ch/site/assets/uploads/2018/02/WGIIAR5-Chap7_FINAL.pdf</w:t>
        </w:r>
      </w:hyperlink>
      <w:r w:rsidRPr="00F36AAC">
        <w:rPr>
          <w:rStyle w:val="image-caption"/>
          <w:i/>
          <w:iCs/>
          <w:color w:val="101010"/>
          <w:shd w:val="clear" w:color="auto" w:fill="FFFFFF"/>
        </w:rPr>
        <w:t>.</w:t>
      </w:r>
    </w:p>
    <w:p w14:paraId="420D6002" w14:textId="77777777" w:rsidR="0070589C" w:rsidRPr="00F36AAC" w:rsidRDefault="0070589C" w:rsidP="0070589C">
      <w:pPr>
        <w:ind w:firstLine="720"/>
        <w:jc w:val="both"/>
      </w:pPr>
    </w:p>
    <w:p w14:paraId="16290FA3" w14:textId="77777777" w:rsidR="0070589C" w:rsidRPr="00F36AAC" w:rsidRDefault="0070589C" w:rsidP="0070589C">
      <w:pPr>
        <w:jc w:val="both"/>
        <w:rPr>
          <w:rFonts w:eastAsiaTheme="minorHAnsi"/>
        </w:rPr>
      </w:pPr>
    </w:p>
    <w:p w14:paraId="40498AB3" w14:textId="55C828E4" w:rsidR="0070589C" w:rsidRPr="002D69E9" w:rsidRDefault="0070589C" w:rsidP="0070589C">
      <w:pPr>
        <w:ind w:right="540" w:firstLine="720"/>
        <w:jc w:val="both"/>
        <w:rPr>
          <w:sz w:val="24"/>
          <w:szCs w:val="24"/>
        </w:rPr>
      </w:pPr>
      <w:r w:rsidRPr="002D69E9">
        <w:rPr>
          <w:b/>
          <w:bCs/>
          <w:sz w:val="24"/>
          <w:szCs w:val="24"/>
        </w:rPr>
        <w:t>2.</w:t>
      </w:r>
      <w:r w:rsidRPr="002D69E9">
        <w:t xml:space="preserve"> </w:t>
      </w:r>
      <w:r w:rsidR="008E42DE">
        <w:t xml:space="preserve"> </w:t>
      </w:r>
      <w:r w:rsidRPr="002D69E9">
        <w:rPr>
          <w:b/>
          <w:bCs/>
          <w:sz w:val="24"/>
          <w:szCs w:val="24"/>
        </w:rPr>
        <w:t>Upside?</w:t>
      </w:r>
      <w:r w:rsidRPr="002D69E9">
        <w:rPr>
          <w:sz w:val="24"/>
          <w:szCs w:val="24"/>
        </w:rPr>
        <w:t xml:space="preserve"> The negative environmental and social costs of conventional biofuels are greatly underestimated. Conventional biofuels require mitigation under climate change adap</w:t>
      </w:r>
      <w:r w:rsidR="008E42DE">
        <w:rPr>
          <w:sz w:val="24"/>
          <w:szCs w:val="24"/>
        </w:rPr>
        <w:t>ta</w:t>
      </w:r>
      <w:r w:rsidRPr="002D69E9">
        <w:rPr>
          <w:sz w:val="24"/>
          <w:szCs w:val="24"/>
        </w:rPr>
        <w:t xml:space="preserve">tion measures and reconsideration of food security efforts. Accounting for such environmental externalities is closely tied to the concept of sustainable development, defined by the United Nations as, development that meets the needs of the present without compromising the ability of future generations to meet their own needs. The future impacts of biofuels, including greenhouse gas emissions, deforestation, population displacement, and food security must be included in the calculus of sustainable development. </w:t>
      </w:r>
    </w:p>
    <w:p w14:paraId="605ACE7D" w14:textId="77777777" w:rsidR="0070589C" w:rsidRPr="002D69E9" w:rsidRDefault="0070589C" w:rsidP="0070589C">
      <w:pPr>
        <w:jc w:val="both"/>
        <w:rPr>
          <w:sz w:val="24"/>
          <w:szCs w:val="24"/>
        </w:rPr>
      </w:pPr>
    </w:p>
    <w:p w14:paraId="16B08CF8" w14:textId="3E562B7A" w:rsidR="0070589C" w:rsidRPr="002D69E9" w:rsidRDefault="0070589C" w:rsidP="0070589C">
      <w:pPr>
        <w:ind w:right="540" w:firstLine="720"/>
        <w:jc w:val="both"/>
        <w:rPr>
          <w:sz w:val="24"/>
          <w:szCs w:val="24"/>
        </w:rPr>
      </w:pPr>
      <w:r w:rsidRPr="002D69E9">
        <w:rPr>
          <w:sz w:val="24"/>
          <w:szCs w:val="24"/>
        </w:rPr>
        <w:t xml:space="preserve">As an upside, California’s Low Carbon Fuel Standard (“LCFS”) includes gasoline and diesel. The LCFS requires petroleum-based fuel producers reduce the carbon intensity of their products, beginning with a quarter of a percent in 2011 culminating in a 10 percent total reduction in 2020. The LCFS program forces fuel providers to track the life cycle global warming intensity of their products, measured on a per-unit-energy basis, and reduce this value over time. As I explain in an earlier article: The California system allows for the fuel providers to decide how they will select to reduce the carbon intensity of petroleum-based products from various choices, including blending low-carbon biofuels, utilizing low-carbon fuels such as hydrogen, or purchasing credits from other low-carbon fuel providers. In other words, businesses pick the technologies and strategies that work best for them and their customers. Nadia Ahmad, </w:t>
      </w:r>
      <w:r w:rsidRPr="002D69E9">
        <w:rPr>
          <w:i/>
          <w:iCs/>
          <w:color w:val="000000"/>
          <w:sz w:val="24"/>
          <w:szCs w:val="24"/>
        </w:rPr>
        <w:t>Resiliency and Responsive Regulation for Advanced Biofuels</w:t>
      </w:r>
      <w:r w:rsidRPr="002D69E9">
        <w:rPr>
          <w:color w:val="000000"/>
          <w:sz w:val="24"/>
          <w:szCs w:val="24"/>
        </w:rPr>
        <w:t xml:space="preserve">, </w:t>
      </w:r>
      <w:bookmarkStart w:id="28" w:name="_Hlk494461723"/>
      <w:r w:rsidRPr="002D69E9">
        <w:rPr>
          <w:color w:val="000000"/>
          <w:sz w:val="24"/>
          <w:szCs w:val="24"/>
        </w:rPr>
        <w:t xml:space="preserve">36 </w:t>
      </w:r>
      <w:r w:rsidRPr="002D69E9">
        <w:rPr>
          <w:smallCaps/>
          <w:sz w:val="24"/>
          <w:szCs w:val="24"/>
        </w:rPr>
        <w:t>Virginia Env</w:t>
      </w:r>
      <w:r w:rsidR="00B35D9A">
        <w:rPr>
          <w:smallCaps/>
          <w:sz w:val="24"/>
          <w:szCs w:val="24"/>
        </w:rPr>
        <w:t xml:space="preserve">tl. </w:t>
      </w:r>
      <w:r w:rsidRPr="002D69E9">
        <w:rPr>
          <w:smallCaps/>
          <w:sz w:val="24"/>
          <w:szCs w:val="24"/>
        </w:rPr>
        <w:t xml:space="preserve"> L</w:t>
      </w:r>
      <w:r w:rsidR="00B35D9A">
        <w:rPr>
          <w:smallCaps/>
          <w:sz w:val="24"/>
          <w:szCs w:val="24"/>
        </w:rPr>
        <w:t xml:space="preserve">. </w:t>
      </w:r>
      <w:r w:rsidRPr="002D69E9">
        <w:rPr>
          <w:smallCaps/>
          <w:sz w:val="24"/>
          <w:szCs w:val="24"/>
        </w:rPr>
        <w:t>J</w:t>
      </w:r>
      <w:r w:rsidR="00B35D9A">
        <w:rPr>
          <w:smallCaps/>
          <w:sz w:val="24"/>
          <w:szCs w:val="24"/>
        </w:rPr>
        <w:t>.</w:t>
      </w:r>
      <w:r w:rsidRPr="002D69E9">
        <w:rPr>
          <w:smallCaps/>
          <w:sz w:val="24"/>
          <w:szCs w:val="24"/>
        </w:rPr>
        <w:t xml:space="preserve"> 40</w:t>
      </w:r>
      <w:bookmarkEnd w:id="28"/>
      <w:r w:rsidRPr="002D69E9">
        <w:rPr>
          <w:smallCaps/>
          <w:sz w:val="24"/>
          <w:szCs w:val="24"/>
        </w:rPr>
        <w:t xml:space="preserve"> (2018). </w:t>
      </w:r>
    </w:p>
    <w:p w14:paraId="0E1CCDBB" w14:textId="77777777" w:rsidR="0070589C" w:rsidRPr="00F36AAC" w:rsidRDefault="0070589C" w:rsidP="0070589C">
      <w:pPr>
        <w:tabs>
          <w:tab w:val="left" w:pos="563"/>
        </w:tabs>
        <w:kinsoku w:val="0"/>
        <w:overflowPunct w:val="0"/>
        <w:jc w:val="both"/>
        <w:rPr>
          <w:rFonts w:eastAsiaTheme="minorHAnsi"/>
        </w:rPr>
      </w:pPr>
    </w:p>
    <w:p w14:paraId="295A9DD5" w14:textId="77777777" w:rsidR="003E3845" w:rsidRDefault="0070589C" w:rsidP="003E3845">
      <w:pPr>
        <w:pStyle w:val="ListParagraph"/>
        <w:numPr>
          <w:ilvl w:val="0"/>
          <w:numId w:val="34"/>
        </w:numPr>
        <w:jc w:val="both"/>
        <w:rPr>
          <w:rFonts w:eastAsiaTheme="minorHAnsi"/>
        </w:rPr>
      </w:pPr>
      <w:r w:rsidRPr="00F36AAC">
        <w:rPr>
          <w:rFonts w:eastAsiaTheme="minorHAnsi"/>
        </w:rPr>
        <w:t xml:space="preserve">This question is self-explanatory. </w:t>
      </w:r>
    </w:p>
    <w:p w14:paraId="230F16E8" w14:textId="77777777" w:rsidR="003E3845" w:rsidRPr="003E3845" w:rsidRDefault="003E3845" w:rsidP="003E3845">
      <w:pPr>
        <w:jc w:val="both"/>
        <w:rPr>
          <w:rFonts w:eastAsiaTheme="minorHAnsi"/>
          <w:sz w:val="24"/>
          <w:szCs w:val="24"/>
        </w:rPr>
      </w:pPr>
    </w:p>
    <w:p w14:paraId="503D31FF" w14:textId="2F7EA982" w:rsidR="0070589C" w:rsidRPr="003E3845" w:rsidRDefault="003E3845" w:rsidP="003E3845">
      <w:pPr>
        <w:ind w:firstLine="720"/>
        <w:jc w:val="both"/>
        <w:rPr>
          <w:rFonts w:eastAsiaTheme="minorHAnsi"/>
          <w:sz w:val="24"/>
          <w:szCs w:val="24"/>
        </w:rPr>
      </w:pPr>
      <w:r w:rsidRPr="003E3845">
        <w:rPr>
          <w:rFonts w:eastAsiaTheme="minorHAnsi"/>
          <w:b/>
          <w:sz w:val="24"/>
          <w:szCs w:val="24"/>
        </w:rPr>
        <w:t>4.</w:t>
      </w:r>
      <w:r w:rsidRPr="003E3845">
        <w:rPr>
          <w:rFonts w:eastAsiaTheme="minorHAnsi"/>
          <w:sz w:val="24"/>
          <w:szCs w:val="24"/>
        </w:rPr>
        <w:t xml:space="preserve">  </w:t>
      </w:r>
      <w:r w:rsidR="0070589C" w:rsidRPr="003E3845">
        <w:rPr>
          <w:rFonts w:eastAsiaTheme="minorHAnsi"/>
          <w:sz w:val="24"/>
          <w:szCs w:val="24"/>
        </w:rPr>
        <w:t xml:space="preserve">This question requires a consideration of the science of GM crops as well as the access to information regarding it. In looking at the ability of GM crops to increase crop yield, it also </w:t>
      </w:r>
      <w:r w:rsidR="0070589C" w:rsidRPr="003E3845">
        <w:rPr>
          <w:rFonts w:eastAsiaTheme="minorHAnsi"/>
          <w:sz w:val="24"/>
          <w:szCs w:val="24"/>
        </w:rPr>
        <w:lastRenderedPageBreak/>
        <w:t xml:space="preserve">requires an understanding of issues related to food scarcity: </w:t>
      </w:r>
      <w:r w:rsidR="0070589C" w:rsidRPr="003E3845">
        <w:rPr>
          <w:rFonts w:eastAsiaTheme="minorHAnsi"/>
          <w:sz w:val="24"/>
          <w:szCs w:val="24"/>
        </w:rPr>
        <w:tab/>
      </w:r>
    </w:p>
    <w:p w14:paraId="56B3F228" w14:textId="77777777" w:rsidR="0070589C" w:rsidRPr="00F36AAC" w:rsidRDefault="0070589C" w:rsidP="0070589C">
      <w:pPr>
        <w:jc w:val="both"/>
        <w:rPr>
          <w:rFonts w:eastAsiaTheme="minorHAnsi"/>
        </w:rPr>
      </w:pPr>
    </w:p>
    <w:p w14:paraId="505DBF4C" w14:textId="77777777" w:rsidR="0070589C" w:rsidRPr="002D69E9" w:rsidRDefault="0070589C" w:rsidP="0070589C">
      <w:pPr>
        <w:jc w:val="both"/>
        <w:rPr>
          <w:rFonts w:eastAsiaTheme="minorHAnsi"/>
          <w:sz w:val="24"/>
          <w:szCs w:val="24"/>
        </w:rPr>
      </w:pPr>
    </w:p>
    <w:p w14:paraId="3780AD7D" w14:textId="77777777" w:rsidR="0070589C" w:rsidRPr="002D69E9" w:rsidRDefault="0070589C" w:rsidP="0070589C">
      <w:pPr>
        <w:ind w:left="1440" w:right="720" w:firstLine="720"/>
        <w:jc w:val="both"/>
        <w:rPr>
          <w:color w:val="000000"/>
          <w:sz w:val="24"/>
          <w:szCs w:val="24"/>
          <w:shd w:val="clear" w:color="auto" w:fill="FFFFFF"/>
        </w:rPr>
      </w:pPr>
      <w:r w:rsidRPr="002D69E9">
        <w:rPr>
          <w:color w:val="000000"/>
          <w:sz w:val="24"/>
          <w:szCs w:val="24"/>
          <w:shd w:val="clear" w:color="auto" w:fill="FFFFFF"/>
        </w:rPr>
        <w:t>GM crops are plants that have been modified, using genetic engineering, to alter their DNA sequences to provide some beneficial trait. For example, genetic engineering can improve </w:t>
      </w:r>
      <w:r w:rsidRPr="002D69E9">
        <w:rPr>
          <w:sz w:val="24"/>
          <w:szCs w:val="24"/>
        </w:rPr>
        <w:t>crop yield</w:t>
      </w:r>
      <w:r w:rsidRPr="002D69E9">
        <w:rPr>
          <w:color w:val="000000"/>
          <w:sz w:val="24"/>
          <w:szCs w:val="24"/>
          <w:shd w:val="clear" w:color="auto" w:fill="FFFFFF"/>
        </w:rPr>
        <w:t>, resulting in greater production of the target crop. Scientists can also engineer pest-resistant crops, helping local farmers better withstand environmental challenges that might otherwise wipe out a whole season of </w:t>
      </w:r>
      <w:r w:rsidRPr="002D69E9">
        <w:rPr>
          <w:sz w:val="24"/>
          <w:szCs w:val="24"/>
        </w:rPr>
        <w:t>produce</w:t>
      </w:r>
      <w:r w:rsidRPr="002D69E9">
        <w:rPr>
          <w:color w:val="000000"/>
          <w:sz w:val="24"/>
          <w:szCs w:val="24"/>
          <w:shd w:val="clear" w:color="auto" w:fill="FFFFFF"/>
        </w:rPr>
        <w:t>. Crops can even be engineered to be more nutritious, providing critical vitamins to populations that struggle to get specific nutrients needed for healthy living.</w:t>
      </w:r>
    </w:p>
    <w:p w14:paraId="5E8C56F2" w14:textId="77777777" w:rsidR="0070589C" w:rsidRPr="002D69E9" w:rsidRDefault="0070589C" w:rsidP="0070589C">
      <w:pPr>
        <w:ind w:left="1440" w:right="720"/>
        <w:jc w:val="both"/>
        <w:rPr>
          <w:color w:val="000000"/>
          <w:sz w:val="24"/>
          <w:szCs w:val="24"/>
        </w:rPr>
      </w:pPr>
    </w:p>
    <w:p w14:paraId="48F06724" w14:textId="77777777" w:rsidR="0070589C" w:rsidRPr="002D69E9" w:rsidRDefault="0070589C" w:rsidP="0070589C">
      <w:pPr>
        <w:ind w:left="1440" w:right="720" w:firstLine="720"/>
        <w:jc w:val="both"/>
        <w:rPr>
          <w:color w:val="000000"/>
          <w:sz w:val="24"/>
          <w:szCs w:val="24"/>
        </w:rPr>
      </w:pPr>
      <w:r w:rsidRPr="002D69E9">
        <w:rPr>
          <w:color w:val="000000"/>
          <w:sz w:val="24"/>
          <w:szCs w:val="24"/>
          <w:shd w:val="clear" w:color="auto" w:fill="FFFFFF"/>
        </w:rPr>
        <w:t>However, GM seeds are produced primarily by only a few large companies who own the intellectual property for the genetic variations. A transition to GM crops would closely align global food production with the activities of a few key companies. From an economic standpoint, that poses a risk to long-term food security by creating the potential for a single-point failure. If that company failed, then the crop it provides would not be available to the people who depend on that crop.</w:t>
      </w:r>
      <w:r w:rsidRPr="002D69E9">
        <w:rPr>
          <w:color w:val="000000"/>
          <w:sz w:val="24"/>
          <w:szCs w:val="24"/>
        </w:rPr>
        <w:br/>
      </w:r>
      <w:r w:rsidRPr="002D69E9">
        <w:rPr>
          <w:color w:val="000000"/>
          <w:sz w:val="24"/>
          <w:szCs w:val="24"/>
        </w:rPr>
        <w:br/>
      </w:r>
      <w:r w:rsidRPr="002D69E9">
        <w:rPr>
          <w:color w:val="000000"/>
          <w:sz w:val="24"/>
          <w:szCs w:val="24"/>
          <w:shd w:val="clear" w:color="auto" w:fill="FFFFFF"/>
        </w:rPr>
        <w:t>Moreover, a large proportion of those affected by malnutrition are small farmers in sub-Saharan Africa, where use of GM crops is less common. Since attitudes toward GM crops tend to correlate with education levels and access to information about the technology, there is a concern that sub-Saharan African farmers may be hesitant to adopt GM crops. More generally, public perception of GM foods is plagued by concerns of safety, from the potential for allergic response to the possible transfer of foreign DNA to non-GM plants in the area. None of these concerns are backed by evidence, but they persist nonetheless…</w:t>
      </w:r>
      <w:r w:rsidRPr="002D69E9">
        <w:rPr>
          <w:color w:val="000000"/>
          <w:sz w:val="24"/>
          <w:szCs w:val="24"/>
        </w:rPr>
        <w:t>.</w:t>
      </w:r>
    </w:p>
    <w:p w14:paraId="49B1B921" w14:textId="77777777" w:rsidR="0070589C" w:rsidRPr="002D69E9" w:rsidRDefault="0070589C" w:rsidP="0070589C">
      <w:pPr>
        <w:ind w:left="1440" w:right="720" w:firstLine="720"/>
        <w:jc w:val="both"/>
        <w:rPr>
          <w:color w:val="000000"/>
          <w:sz w:val="24"/>
          <w:szCs w:val="24"/>
          <w:shd w:val="clear" w:color="auto" w:fill="FFFFFF"/>
        </w:rPr>
      </w:pPr>
      <w:r w:rsidRPr="002D69E9">
        <w:rPr>
          <w:color w:val="000000"/>
          <w:sz w:val="24"/>
          <w:szCs w:val="24"/>
        </w:rPr>
        <w:br/>
      </w:r>
      <w:r w:rsidRPr="002D69E9">
        <w:rPr>
          <w:color w:val="000000"/>
          <w:sz w:val="24"/>
          <w:szCs w:val="24"/>
          <w:shd w:val="clear" w:color="auto" w:fill="FFFFFF"/>
        </w:rPr>
        <w:t>While there are these controversies and complexities that pose challenges for the use of GM foods, these are secondary to a larger issue. We already live in a world that produces enough food to feed everyone. Thus, hunger results from inequity, not food shortage. Unequal distribution of quality food among communities suffering from </w:t>
      </w:r>
      <w:r w:rsidRPr="002D69E9">
        <w:rPr>
          <w:sz w:val="24"/>
          <w:szCs w:val="24"/>
        </w:rPr>
        <w:t>poverty</w:t>
      </w:r>
      <w:r w:rsidRPr="002D69E9">
        <w:rPr>
          <w:color w:val="000000"/>
          <w:sz w:val="24"/>
          <w:szCs w:val="24"/>
          <w:shd w:val="clear" w:color="auto" w:fill="FFFFFF"/>
        </w:rPr>
        <w:t> is the primary culprit in today’s world hunger, not abundance or quantity of food stocks. For those suffering from malnutrition, access to quality food depends on a variety of political, environmental, and </w:t>
      </w:r>
      <w:r w:rsidRPr="002D69E9">
        <w:rPr>
          <w:sz w:val="24"/>
          <w:szCs w:val="24"/>
        </w:rPr>
        <w:t>socioeconomic</w:t>
      </w:r>
      <w:r w:rsidRPr="002D69E9">
        <w:rPr>
          <w:color w:val="000000"/>
          <w:sz w:val="24"/>
          <w:szCs w:val="24"/>
          <w:shd w:val="clear" w:color="auto" w:fill="FFFFFF"/>
        </w:rPr>
        <w:t> factors—most notably, </w:t>
      </w:r>
      <w:r w:rsidRPr="002D69E9">
        <w:rPr>
          <w:sz w:val="24"/>
          <w:szCs w:val="24"/>
        </w:rPr>
        <w:t>armed</w:t>
      </w:r>
      <w:r w:rsidRPr="002D69E9">
        <w:rPr>
          <w:color w:val="000000"/>
          <w:sz w:val="24"/>
          <w:szCs w:val="24"/>
          <w:shd w:val="clear" w:color="auto" w:fill="FFFFFF"/>
        </w:rPr>
        <w:t> conflict and natural disasters.</w:t>
      </w:r>
    </w:p>
    <w:p w14:paraId="4217F3CA" w14:textId="77777777" w:rsidR="0070589C" w:rsidRPr="002D69E9" w:rsidRDefault="0070589C" w:rsidP="0070589C">
      <w:pPr>
        <w:ind w:left="1440" w:right="720" w:firstLine="720"/>
        <w:jc w:val="both"/>
        <w:rPr>
          <w:color w:val="000000"/>
          <w:sz w:val="24"/>
          <w:szCs w:val="24"/>
          <w:shd w:val="clear" w:color="auto" w:fill="FFFFFF"/>
        </w:rPr>
      </w:pPr>
      <w:r w:rsidRPr="002D69E9">
        <w:rPr>
          <w:color w:val="000000"/>
          <w:sz w:val="24"/>
          <w:szCs w:val="24"/>
        </w:rPr>
        <w:br/>
      </w:r>
      <w:r w:rsidRPr="002D69E9">
        <w:rPr>
          <w:color w:val="000000"/>
          <w:sz w:val="24"/>
          <w:szCs w:val="24"/>
          <w:shd w:val="clear" w:color="auto" w:fill="FFFFFF"/>
        </w:rPr>
        <w:t xml:space="preserve">When viewed through this lens, GM crops may have a role to play in combatting global hunger, but merely increasing crop production or nutritional value (via any method) will not solve the larger problem of inequity in access to food. For example, farmers whose livelihoods depend on production of commercial crops rather than food staples may be able to increase their income by growing GM crops, affording them the financial resources to purchase more or higher-quality food. Moreover, GM crops </w:t>
      </w:r>
      <w:r w:rsidRPr="002D69E9">
        <w:rPr>
          <w:color w:val="000000"/>
          <w:sz w:val="24"/>
          <w:szCs w:val="24"/>
          <w:shd w:val="clear" w:color="auto" w:fill="FFFFFF"/>
        </w:rPr>
        <w:lastRenderedPageBreak/>
        <w:t>might better withstand certain natural disasters, such as drought. However, since data shows that political unrest is the primary driver of hunger, it is unclear whether these farmers would be able to sell their products or use their income on nutritional food sources within a country plagued by conflict.</w:t>
      </w:r>
    </w:p>
    <w:p w14:paraId="2BF06D31" w14:textId="77777777" w:rsidR="0070589C" w:rsidRPr="00F36AAC" w:rsidRDefault="0070589C" w:rsidP="0070589C">
      <w:pPr>
        <w:jc w:val="both"/>
        <w:rPr>
          <w:color w:val="000000"/>
          <w:shd w:val="clear" w:color="auto" w:fill="FFFFFF"/>
        </w:rPr>
      </w:pPr>
    </w:p>
    <w:p w14:paraId="4199BE5A" w14:textId="314359A3" w:rsidR="0070589C" w:rsidRPr="002D69E9" w:rsidRDefault="0070589C" w:rsidP="0070589C">
      <w:pPr>
        <w:ind w:right="540"/>
        <w:jc w:val="both"/>
        <w:rPr>
          <w:sz w:val="24"/>
          <w:szCs w:val="24"/>
        </w:rPr>
      </w:pPr>
      <w:r w:rsidRPr="002D69E9">
        <w:rPr>
          <w:i/>
          <w:iCs/>
          <w:color w:val="000000"/>
          <w:sz w:val="24"/>
          <w:szCs w:val="24"/>
          <w:shd w:val="clear" w:color="auto" w:fill="FFFFFF"/>
        </w:rPr>
        <w:t>Are Genetically Modified Crops the Answer to World Hunger?</w:t>
      </w:r>
      <w:r w:rsidRPr="002D69E9">
        <w:rPr>
          <w:color w:val="000000"/>
          <w:sz w:val="24"/>
          <w:szCs w:val="24"/>
          <w:shd w:val="clear" w:color="auto" w:fill="FFFFFF"/>
        </w:rPr>
        <w:t xml:space="preserve"> </w:t>
      </w:r>
      <w:r w:rsidRPr="002D69E9">
        <w:rPr>
          <w:smallCaps/>
          <w:color w:val="000000"/>
          <w:sz w:val="24"/>
          <w:szCs w:val="24"/>
          <w:shd w:val="clear" w:color="auto" w:fill="FFFFFF"/>
        </w:rPr>
        <w:t>Nat</w:t>
      </w:r>
      <w:r w:rsidR="008E42DE">
        <w:rPr>
          <w:smallCaps/>
          <w:color w:val="000000"/>
          <w:sz w:val="24"/>
          <w:szCs w:val="24"/>
          <w:shd w:val="clear" w:color="auto" w:fill="FFFFFF"/>
        </w:rPr>
        <w:t>.</w:t>
      </w:r>
      <w:r w:rsidRPr="002D69E9">
        <w:rPr>
          <w:smallCaps/>
          <w:color w:val="000000"/>
          <w:sz w:val="24"/>
          <w:szCs w:val="24"/>
          <w:shd w:val="clear" w:color="auto" w:fill="FFFFFF"/>
        </w:rPr>
        <w:t xml:space="preserve"> Geographic,</w:t>
      </w:r>
      <w:r w:rsidRPr="002D69E9">
        <w:rPr>
          <w:color w:val="000000"/>
          <w:sz w:val="24"/>
          <w:szCs w:val="24"/>
          <w:shd w:val="clear" w:color="auto" w:fill="FFFFFF"/>
        </w:rPr>
        <w:t xml:space="preserve"> Jan</w:t>
      </w:r>
      <w:r w:rsidR="008E42DE">
        <w:rPr>
          <w:color w:val="000000"/>
          <w:sz w:val="24"/>
          <w:szCs w:val="24"/>
          <w:shd w:val="clear" w:color="auto" w:fill="FFFFFF"/>
        </w:rPr>
        <w:t>.</w:t>
      </w:r>
      <w:r w:rsidRPr="002D69E9">
        <w:rPr>
          <w:color w:val="000000"/>
          <w:sz w:val="24"/>
          <w:szCs w:val="24"/>
          <w:shd w:val="clear" w:color="auto" w:fill="FFFFFF"/>
        </w:rPr>
        <w:t xml:space="preserve"> 28, 2020, </w:t>
      </w:r>
      <w:hyperlink r:id="rId83" w:history="1">
        <w:r w:rsidRPr="002D69E9">
          <w:rPr>
            <w:rStyle w:val="Hyperlink"/>
            <w:rFonts w:eastAsiaTheme="majorEastAsia"/>
            <w:sz w:val="24"/>
            <w:szCs w:val="24"/>
          </w:rPr>
          <w:t>https://www.nationalgeographic.org/article/are-genetically-modified-crops-answer-world-hunger/</w:t>
        </w:r>
      </w:hyperlink>
      <w:r w:rsidRPr="002D69E9">
        <w:rPr>
          <w:sz w:val="24"/>
          <w:szCs w:val="24"/>
        </w:rPr>
        <w:t xml:space="preserve">. </w:t>
      </w:r>
    </w:p>
    <w:p w14:paraId="42285C76" w14:textId="77777777" w:rsidR="0070589C" w:rsidRPr="00F36AAC" w:rsidRDefault="0070589C" w:rsidP="0070589C">
      <w:pPr>
        <w:tabs>
          <w:tab w:val="left" w:pos="563"/>
        </w:tabs>
        <w:kinsoku w:val="0"/>
        <w:overflowPunct w:val="0"/>
        <w:jc w:val="both"/>
      </w:pPr>
    </w:p>
    <w:p w14:paraId="216FE593" w14:textId="77777777" w:rsidR="0070589C" w:rsidRDefault="0070589C" w:rsidP="00307558">
      <w:pPr>
        <w:pStyle w:val="ListParagraph"/>
        <w:numPr>
          <w:ilvl w:val="0"/>
          <w:numId w:val="35"/>
        </w:numPr>
        <w:tabs>
          <w:tab w:val="left" w:pos="563"/>
        </w:tabs>
        <w:kinsoku w:val="0"/>
        <w:overflowPunct w:val="0"/>
        <w:jc w:val="both"/>
        <w:rPr>
          <w:b/>
          <w:bCs/>
        </w:rPr>
      </w:pPr>
      <w:r w:rsidRPr="002D69E9">
        <w:rPr>
          <w:b/>
          <w:bCs/>
        </w:rPr>
        <w:t>Food Oppression and Poverty</w:t>
      </w:r>
    </w:p>
    <w:p w14:paraId="5CC6EF8C" w14:textId="77777777" w:rsidR="0070589C" w:rsidRDefault="0070589C" w:rsidP="0070589C">
      <w:pPr>
        <w:tabs>
          <w:tab w:val="left" w:pos="563"/>
        </w:tabs>
        <w:kinsoku w:val="0"/>
        <w:overflowPunct w:val="0"/>
        <w:jc w:val="both"/>
        <w:rPr>
          <w:b/>
          <w:bCs/>
        </w:rPr>
      </w:pPr>
    </w:p>
    <w:p w14:paraId="56E0C212" w14:textId="77777777" w:rsidR="0070589C" w:rsidRPr="00C13864" w:rsidRDefault="0070589C" w:rsidP="0070589C">
      <w:pPr>
        <w:tabs>
          <w:tab w:val="left" w:pos="563"/>
        </w:tabs>
        <w:kinsoku w:val="0"/>
        <w:overflowPunct w:val="0"/>
        <w:jc w:val="center"/>
        <w:rPr>
          <w:b/>
          <w:bCs/>
          <w:i/>
          <w:iCs/>
          <w:sz w:val="28"/>
          <w:szCs w:val="28"/>
        </w:rPr>
      </w:pPr>
      <w:r w:rsidRPr="00C13864">
        <w:rPr>
          <w:b/>
          <w:bCs/>
          <w:i/>
          <w:iCs/>
          <w:sz w:val="28"/>
          <w:szCs w:val="28"/>
        </w:rPr>
        <w:t>Notes and Questions</w:t>
      </w:r>
    </w:p>
    <w:p w14:paraId="0782222E" w14:textId="77777777" w:rsidR="0070589C" w:rsidRPr="002D69E9" w:rsidRDefault="0070589C" w:rsidP="0070589C">
      <w:pPr>
        <w:pStyle w:val="ListParagraph"/>
        <w:tabs>
          <w:tab w:val="left" w:pos="563"/>
        </w:tabs>
        <w:kinsoku w:val="0"/>
        <w:overflowPunct w:val="0"/>
        <w:ind w:left="562" w:firstLine="0"/>
        <w:jc w:val="both"/>
        <w:rPr>
          <w:b/>
          <w:bCs/>
        </w:rPr>
      </w:pPr>
    </w:p>
    <w:p w14:paraId="310BA179" w14:textId="12F84282" w:rsidR="0070589C" w:rsidRPr="00C13864" w:rsidRDefault="0070589C" w:rsidP="00973859">
      <w:pPr>
        <w:ind w:right="540" w:firstLine="720"/>
        <w:jc w:val="both"/>
        <w:rPr>
          <w:rFonts w:eastAsiaTheme="minorHAnsi"/>
          <w:sz w:val="24"/>
          <w:szCs w:val="24"/>
        </w:rPr>
      </w:pPr>
      <w:r w:rsidRPr="00C13864">
        <w:rPr>
          <w:rFonts w:eastAsiaTheme="minorHAnsi"/>
          <w:b/>
          <w:bCs/>
          <w:color w:val="1C1D1E"/>
          <w:sz w:val="24"/>
          <w:szCs w:val="24"/>
          <w:shd w:val="clear" w:color="auto" w:fill="FFFFFF"/>
        </w:rPr>
        <w:t>1.</w:t>
      </w:r>
      <w:r w:rsidRPr="00C13864">
        <w:rPr>
          <w:color w:val="1C1D1E"/>
          <w:sz w:val="24"/>
          <w:szCs w:val="24"/>
          <w:shd w:val="clear" w:color="auto" w:fill="FFFFFF"/>
        </w:rPr>
        <w:t xml:space="preserve"> Present‐day federal nutrition assistance programs are based on the premise of two sovereign governments interacting on an equal basis. For tribal nations, restoring food sovereignty coexists with food assistance and evokes empowerment, self‐determination, and collaboration. Restoring traditional foodways of native peoples strengthens cultural identity and the relationship to ancestral lands Tribal Nations Research Group. It involves sourcing foods in a sustainable manner, whether through growing, gathering, hunting, or fishing. From a native perspective, a self‐sufficient food system is holistic, building on environmental, economic, and cultural assets. Food production is also tied to local distribution, bringing food to people residing in food deserts.</w:t>
      </w:r>
      <w:r w:rsidRPr="00C13864">
        <w:rPr>
          <w:rFonts w:eastAsiaTheme="minorHAnsi"/>
          <w:sz w:val="24"/>
          <w:szCs w:val="24"/>
        </w:rPr>
        <w:t xml:space="preserve"> One organizer said, “The takeaway is that community-based food justice organizers and their supporters in law and policy must proactively articulate and demonstrate what makes for successful programs, and then communicate that message to funders, donors, and policymakers at multiple levels of society and government.” Nancy Pindus and Carol Hafford, </w:t>
      </w:r>
      <w:r w:rsidRPr="00C13864">
        <w:rPr>
          <w:rFonts w:eastAsiaTheme="minorHAnsi"/>
          <w:i/>
          <w:iCs/>
          <w:sz w:val="24"/>
          <w:szCs w:val="24"/>
        </w:rPr>
        <w:t>F</w:t>
      </w:r>
      <w:r w:rsidRPr="00C13864">
        <w:rPr>
          <w:i/>
          <w:iCs/>
          <w:color w:val="1C1D1E"/>
          <w:sz w:val="24"/>
          <w:szCs w:val="24"/>
        </w:rPr>
        <w:t>ood security and access to healthy foods in Indian country: Learning from the Food Distribution Program on Indian Reservations,</w:t>
      </w:r>
      <w:r w:rsidRPr="00C13864">
        <w:rPr>
          <w:color w:val="1C1D1E"/>
          <w:sz w:val="24"/>
          <w:szCs w:val="24"/>
        </w:rPr>
        <w:t xml:space="preserve"> 19 </w:t>
      </w:r>
      <w:r w:rsidRPr="00C13864">
        <w:rPr>
          <w:smallCaps/>
          <w:color w:val="1C1D1E"/>
          <w:sz w:val="24"/>
          <w:szCs w:val="24"/>
        </w:rPr>
        <w:t>J. Public Affairs,</w:t>
      </w:r>
      <w:r w:rsidRPr="00C13864">
        <w:rPr>
          <w:color w:val="1C1D1E"/>
          <w:sz w:val="24"/>
          <w:szCs w:val="24"/>
        </w:rPr>
        <w:t xml:space="preserve"> Feb. 2019, </w:t>
      </w:r>
      <w:hyperlink r:id="rId84" w:history="1">
        <w:r w:rsidRPr="00C13864">
          <w:rPr>
            <w:rStyle w:val="Hyperlink"/>
            <w:rFonts w:eastAsiaTheme="majorEastAsia"/>
            <w:sz w:val="24"/>
            <w:szCs w:val="24"/>
          </w:rPr>
          <w:t>https://onlinelibrary.wiley.com/doi/full/10.1002/pa.1876</w:t>
        </w:r>
      </w:hyperlink>
    </w:p>
    <w:p w14:paraId="263E5EB9" w14:textId="77777777" w:rsidR="0070589C" w:rsidRPr="00C13864" w:rsidRDefault="0070589C" w:rsidP="0070589C">
      <w:pPr>
        <w:jc w:val="both"/>
        <w:rPr>
          <w:rFonts w:eastAsiaTheme="minorHAnsi"/>
          <w:sz w:val="24"/>
          <w:szCs w:val="24"/>
        </w:rPr>
      </w:pPr>
    </w:p>
    <w:p w14:paraId="41C4A8C9" w14:textId="77777777" w:rsidR="0070589C" w:rsidRDefault="0070589C" w:rsidP="0070589C">
      <w:pPr>
        <w:ind w:right="540" w:firstLine="720"/>
        <w:jc w:val="both"/>
        <w:rPr>
          <w:sz w:val="24"/>
          <w:szCs w:val="24"/>
        </w:rPr>
      </w:pPr>
      <w:r w:rsidRPr="00C13864">
        <w:rPr>
          <w:rFonts w:eastAsiaTheme="minorHAnsi"/>
          <w:b/>
          <w:bCs/>
          <w:sz w:val="24"/>
          <w:szCs w:val="24"/>
        </w:rPr>
        <w:t>2.</w:t>
      </w:r>
      <w:r w:rsidRPr="00C13864">
        <w:rPr>
          <w:rFonts w:eastAsiaTheme="minorHAnsi"/>
          <w:sz w:val="24"/>
          <w:szCs w:val="24"/>
        </w:rPr>
        <w:t xml:space="preserve"> Consider the case study of Soul Fire Farm in Petersburg, New York. </w:t>
      </w:r>
      <w:r w:rsidRPr="00C13864">
        <w:rPr>
          <w:sz w:val="24"/>
          <w:szCs w:val="24"/>
        </w:rPr>
        <w:t>The five components that make Soul Fire Farm’s food distribution model both financially viable and social</w:t>
      </w:r>
      <w:r>
        <w:rPr>
          <w:sz w:val="24"/>
          <w:szCs w:val="24"/>
        </w:rPr>
        <w:t>ly</w:t>
      </w:r>
      <w:r w:rsidRPr="00C13864">
        <w:rPr>
          <w:sz w:val="24"/>
          <w:szCs w:val="24"/>
        </w:rPr>
        <w:t xml:space="preserve"> responsible are affordability, delivery, cultural relevance, neighborhood relationships, and social justice marketing. Soul Fire Farm was born in response to the South End community’s yearning for food and the desire for connecting land stewardship and social justice. In 2005, Soul Fire Farm’s founders, Leah Penniman and Jonah Vitale-Wolff, moved to Albany, NY with their young children. On their new block, there was no access to supermarkets via public transportation and no open plots in the community garden. Without a car, their only option to access fresh vegetables was to join a pricey CSA and walk the 2.2 miles to the pickup point with children in tow. The toddler rode in the stroller all the way home with bags of heavy squash and potatoes strapped to her lap. The CSA did not accept their WIC or SNAP benefits, so they needed to make sacrifices in order to pay the cost of the fresh food necessary for the healthy development of their children.</w:t>
      </w:r>
    </w:p>
    <w:p w14:paraId="308C0F19" w14:textId="77777777" w:rsidR="0070589C" w:rsidRPr="00C13864" w:rsidRDefault="0070589C" w:rsidP="0070589C">
      <w:pPr>
        <w:ind w:firstLine="720"/>
        <w:jc w:val="both"/>
        <w:rPr>
          <w:sz w:val="24"/>
          <w:szCs w:val="24"/>
        </w:rPr>
      </w:pPr>
      <w:r w:rsidRPr="00C13864">
        <w:rPr>
          <w:sz w:val="24"/>
          <w:szCs w:val="24"/>
        </w:rPr>
        <w:t xml:space="preserve"> </w:t>
      </w:r>
    </w:p>
    <w:p w14:paraId="082BF107" w14:textId="77777777" w:rsidR="0070589C" w:rsidRDefault="0070589C" w:rsidP="0070589C">
      <w:pPr>
        <w:ind w:right="540" w:firstLine="720"/>
        <w:jc w:val="both"/>
        <w:rPr>
          <w:sz w:val="24"/>
          <w:szCs w:val="24"/>
        </w:rPr>
      </w:pPr>
      <w:r w:rsidRPr="00C13864">
        <w:rPr>
          <w:sz w:val="24"/>
          <w:szCs w:val="24"/>
        </w:rPr>
        <w:t xml:space="preserve">Approximately 13.5 million Americans also live under food apartheid, a system of segregation that prevents mostly poor and nonwhite people from accessing affordable food because of their geography. This first-hand experience with food apartheid was part of what </w:t>
      </w:r>
      <w:r w:rsidRPr="00C13864">
        <w:rPr>
          <w:sz w:val="24"/>
          <w:szCs w:val="24"/>
        </w:rPr>
        <w:lastRenderedPageBreak/>
        <w:t xml:space="preserve">motivated the founders to create Soul Fire Farm’s Ujaama Farm Share. They acquired land 35 minutes east of their South End neighborhood and put their farming experience to work. Rooted in the principle of Ujaama, cooperative economics, Soul Fire Farm runs a subscription-based farmshare model that reduces access barriers of transportation and cost, while providing the farm with guaranteed income. In 2011, the first year of the Ujaama farmshare CSA, Soul Fire Farm welcomed 20 families to sign up, almost all of them former neighbors from the South End. They did most of the growing in the evenings and delivered vegetables and eggs on Sundays, working around </w:t>
      </w:r>
      <w:r w:rsidRPr="002D69E9">
        <w:rPr>
          <w:sz w:val="24"/>
          <w:szCs w:val="24"/>
        </w:rPr>
        <w:t>full-time public-school</w:t>
      </w:r>
      <w:r w:rsidRPr="00C13864">
        <w:rPr>
          <w:sz w:val="24"/>
          <w:szCs w:val="24"/>
        </w:rPr>
        <w:t xml:space="preserve"> science teaching and natural building jobs. </w:t>
      </w:r>
    </w:p>
    <w:p w14:paraId="18CA3CD6" w14:textId="77777777" w:rsidR="0070589C" w:rsidRPr="00C13864" w:rsidRDefault="0070589C" w:rsidP="0070589C">
      <w:pPr>
        <w:ind w:right="540" w:firstLine="720"/>
        <w:jc w:val="both"/>
        <w:rPr>
          <w:sz w:val="24"/>
          <w:szCs w:val="24"/>
        </w:rPr>
      </w:pPr>
    </w:p>
    <w:p w14:paraId="218CA66D" w14:textId="77777777" w:rsidR="0070589C" w:rsidRPr="00C13864" w:rsidRDefault="0070589C" w:rsidP="0070589C">
      <w:pPr>
        <w:ind w:right="540" w:firstLine="720"/>
        <w:jc w:val="both"/>
        <w:rPr>
          <w:rFonts w:eastAsiaTheme="minorHAnsi"/>
          <w:sz w:val="24"/>
          <w:szCs w:val="24"/>
        </w:rPr>
      </w:pPr>
      <w:r w:rsidRPr="00C13864">
        <w:rPr>
          <w:sz w:val="24"/>
          <w:szCs w:val="24"/>
        </w:rPr>
        <w:t xml:space="preserve">From the first day, Soul Fire Farm accepted SNAP/EBT (formerly food stamps) and charged a sliding scale based on self-reported income. The bushel boxes were stuffed full with a rainbow of mineral-rich bounty and were brought right to people’s doorsteps, addressing the transportation barrier. Each year they grew the program, expanding beyond the South End to other neighborhoods impacted by food apartheid - West Hill, Arbor Hill, and South and North Troy. Over time, they transitioned out of their off-farm jobs and welcomed additional staff. Currently, there are 80-100 families in the program who affectionately term it “Netflix for vegetables.” See Soul Fire Farm, </w:t>
      </w:r>
      <w:hyperlink r:id="rId85" w:history="1">
        <w:r w:rsidRPr="00C13864">
          <w:rPr>
            <w:rStyle w:val="Hyperlink"/>
            <w:rFonts w:eastAsiaTheme="majorEastAsia"/>
            <w:sz w:val="24"/>
            <w:szCs w:val="24"/>
          </w:rPr>
          <w:t>https://www.soulfirefarm.org/</w:t>
        </w:r>
      </w:hyperlink>
      <w:r w:rsidRPr="00C13864">
        <w:rPr>
          <w:sz w:val="24"/>
          <w:szCs w:val="24"/>
        </w:rPr>
        <w:t xml:space="preserve">.  </w:t>
      </w:r>
    </w:p>
    <w:p w14:paraId="2BD95E6B" w14:textId="77777777" w:rsidR="0070589C" w:rsidRPr="00C13864" w:rsidRDefault="0070589C" w:rsidP="0070589C">
      <w:pPr>
        <w:ind w:firstLine="720"/>
        <w:jc w:val="both"/>
        <w:rPr>
          <w:rFonts w:eastAsiaTheme="minorHAnsi"/>
          <w:sz w:val="24"/>
          <w:szCs w:val="24"/>
        </w:rPr>
      </w:pPr>
    </w:p>
    <w:p w14:paraId="4D07F8E6" w14:textId="38CDF1C9" w:rsidR="0070589C" w:rsidRPr="00C13864" w:rsidRDefault="0070589C" w:rsidP="0070589C">
      <w:pPr>
        <w:ind w:right="540" w:firstLine="720"/>
        <w:jc w:val="both"/>
        <w:rPr>
          <w:rFonts w:eastAsiaTheme="minorHAnsi"/>
          <w:sz w:val="24"/>
          <w:szCs w:val="24"/>
        </w:rPr>
      </w:pPr>
      <w:r w:rsidRPr="00C13864">
        <w:rPr>
          <w:rFonts w:eastAsiaTheme="minorHAnsi"/>
          <w:b/>
          <w:bCs/>
          <w:sz w:val="24"/>
          <w:szCs w:val="24"/>
        </w:rPr>
        <w:t>3.</w:t>
      </w:r>
      <w:r w:rsidRPr="00C13864">
        <w:rPr>
          <w:rFonts w:eastAsiaTheme="minorHAnsi"/>
          <w:sz w:val="24"/>
          <w:szCs w:val="24"/>
        </w:rPr>
        <w:t xml:space="preserve"> </w:t>
      </w:r>
      <w:r w:rsidR="00973859">
        <w:rPr>
          <w:rFonts w:eastAsiaTheme="minorHAnsi"/>
          <w:sz w:val="24"/>
          <w:szCs w:val="24"/>
        </w:rPr>
        <w:t xml:space="preserve"> </w:t>
      </w:r>
      <w:r w:rsidRPr="00C13864">
        <w:rPr>
          <w:rFonts w:eastAsiaTheme="minorHAnsi"/>
          <w:sz w:val="24"/>
          <w:szCs w:val="24"/>
        </w:rPr>
        <w:t xml:space="preserve">Answers will vary. Consider the well-intentioned effort for nutrition are dependent on funding sources. The difference between putting food on the table versus picking the right food is a complex issue that overlooks agency. </w:t>
      </w:r>
    </w:p>
    <w:p w14:paraId="45E47B14" w14:textId="77777777" w:rsidR="0070589C" w:rsidRPr="00F36AAC" w:rsidRDefault="0070589C" w:rsidP="0070589C">
      <w:pPr>
        <w:pStyle w:val="Heading1"/>
        <w:ind w:left="0"/>
        <w:jc w:val="both"/>
        <w:rPr>
          <w:b w:val="0"/>
          <w:bCs w:val="0"/>
          <w:color w:val="000000"/>
        </w:rPr>
      </w:pPr>
    </w:p>
    <w:p w14:paraId="69527AD7" w14:textId="77777777" w:rsidR="0070589C" w:rsidRPr="002D69E9" w:rsidRDefault="0070589C" w:rsidP="0070589C">
      <w:pPr>
        <w:pStyle w:val="Heading1"/>
        <w:ind w:left="0"/>
        <w:jc w:val="both"/>
        <w:rPr>
          <w:color w:val="000000"/>
        </w:rPr>
      </w:pPr>
      <w:r w:rsidRPr="002D69E9">
        <w:rPr>
          <w:color w:val="000000"/>
        </w:rPr>
        <w:t>Other Resources:</w:t>
      </w:r>
    </w:p>
    <w:p w14:paraId="1C3F7C60" w14:textId="77777777" w:rsidR="0070589C" w:rsidRPr="00F36AAC" w:rsidRDefault="0070589C" w:rsidP="0070589C">
      <w:pPr>
        <w:jc w:val="both"/>
      </w:pPr>
    </w:p>
    <w:p w14:paraId="4A93226D" w14:textId="77777777" w:rsidR="0070589C" w:rsidRPr="00F36AAC" w:rsidRDefault="0070589C" w:rsidP="0070589C">
      <w:pPr>
        <w:pStyle w:val="Heading1"/>
        <w:ind w:left="0" w:right="540"/>
        <w:jc w:val="both"/>
        <w:rPr>
          <w:b w:val="0"/>
          <w:bCs w:val="0"/>
        </w:rPr>
      </w:pPr>
      <w:r w:rsidRPr="00F36AAC">
        <w:rPr>
          <w:b w:val="0"/>
          <w:bCs w:val="0"/>
          <w:color w:val="000000"/>
        </w:rPr>
        <w:t xml:space="preserve">LaDonna Redmond, Food + Justice = Democracy, TEDxManhattan, 2013, </w:t>
      </w:r>
      <w:hyperlink r:id="rId86" w:history="1">
        <w:r w:rsidRPr="00F36AAC">
          <w:rPr>
            <w:rStyle w:val="Hyperlink"/>
            <w:rFonts w:eastAsiaTheme="majorEastAsia"/>
            <w:b w:val="0"/>
            <w:bCs w:val="0"/>
          </w:rPr>
          <w:t>https://www.youtube.com/watch?v=ydZfSuz-Hu8</w:t>
        </w:r>
      </w:hyperlink>
      <w:r w:rsidRPr="00F36AAC">
        <w:rPr>
          <w:b w:val="0"/>
          <w:bCs w:val="0"/>
        </w:rPr>
        <w:t>.</w:t>
      </w:r>
    </w:p>
    <w:p w14:paraId="099C883E" w14:textId="77777777" w:rsidR="0070589C" w:rsidRPr="00F36AAC" w:rsidRDefault="0070589C" w:rsidP="0070589C"/>
    <w:p w14:paraId="5523616D" w14:textId="7E840FA4" w:rsidR="0070589C" w:rsidRPr="00973859" w:rsidRDefault="0070589C" w:rsidP="0070589C">
      <w:pPr>
        <w:rPr>
          <w:color w:val="000000"/>
          <w:sz w:val="24"/>
          <w:szCs w:val="24"/>
        </w:rPr>
      </w:pPr>
      <w:r w:rsidRPr="00973859">
        <w:rPr>
          <w:color w:val="000000"/>
          <w:sz w:val="24"/>
          <w:szCs w:val="24"/>
        </w:rPr>
        <w:t>Regina Bernard-Carreno, The underlying racism of America’s food system, TEDxManhattan, 2014,</w:t>
      </w:r>
      <w:r w:rsidRPr="00973859">
        <w:rPr>
          <w:b/>
          <w:bCs/>
          <w:color w:val="000000"/>
          <w:sz w:val="24"/>
          <w:szCs w:val="24"/>
        </w:rPr>
        <w:t xml:space="preserve"> </w:t>
      </w:r>
      <w:hyperlink r:id="rId87" w:history="1">
        <w:r w:rsidRPr="00973859">
          <w:rPr>
            <w:rStyle w:val="Hyperlink"/>
            <w:rFonts w:eastAsiaTheme="majorEastAsia"/>
            <w:sz w:val="24"/>
            <w:szCs w:val="24"/>
          </w:rPr>
          <w:t>https://www.youtube.com/watch?v=r0XG-ETx5fk</w:t>
        </w:r>
      </w:hyperlink>
    </w:p>
    <w:p w14:paraId="495D878F" w14:textId="77777777" w:rsidR="0070589C" w:rsidRPr="00973859" w:rsidRDefault="0070589C" w:rsidP="0070589C">
      <w:pPr>
        <w:rPr>
          <w:sz w:val="24"/>
          <w:szCs w:val="24"/>
        </w:rPr>
      </w:pPr>
    </w:p>
    <w:p w14:paraId="2426678C" w14:textId="77777777" w:rsidR="0070589C" w:rsidRPr="00F36AAC" w:rsidRDefault="0070589C" w:rsidP="0070589C">
      <w:pPr>
        <w:spacing w:line="525" w:lineRule="atLeast"/>
        <w:textAlignment w:val="top"/>
        <w:rPr>
          <w:color w:val="000000"/>
        </w:rPr>
      </w:pPr>
    </w:p>
    <w:p w14:paraId="705F1D3B" w14:textId="77777777" w:rsidR="0070589C" w:rsidRPr="00F36AAC" w:rsidRDefault="0070589C" w:rsidP="0070589C"/>
    <w:p w14:paraId="0BF14331" w14:textId="77777777" w:rsidR="0070589C" w:rsidRPr="00F36AAC" w:rsidRDefault="0070589C" w:rsidP="0070589C">
      <w:pPr>
        <w:tabs>
          <w:tab w:val="left" w:pos="563"/>
        </w:tabs>
        <w:kinsoku w:val="0"/>
        <w:overflowPunct w:val="0"/>
        <w:jc w:val="both"/>
      </w:pPr>
    </w:p>
    <w:p w14:paraId="41AB71DD" w14:textId="77777777" w:rsidR="0070589C" w:rsidRPr="00F36AAC" w:rsidRDefault="0070589C" w:rsidP="0070589C">
      <w:pPr>
        <w:tabs>
          <w:tab w:val="left" w:pos="563"/>
        </w:tabs>
        <w:kinsoku w:val="0"/>
        <w:overflowPunct w:val="0"/>
        <w:jc w:val="both"/>
      </w:pPr>
    </w:p>
    <w:p w14:paraId="693BF490" w14:textId="77777777" w:rsidR="0070589C" w:rsidRPr="00F36AAC" w:rsidRDefault="0070589C" w:rsidP="0070589C">
      <w:pPr>
        <w:tabs>
          <w:tab w:val="left" w:pos="563"/>
        </w:tabs>
        <w:kinsoku w:val="0"/>
        <w:overflowPunct w:val="0"/>
        <w:jc w:val="both"/>
      </w:pPr>
    </w:p>
    <w:p w14:paraId="3C222AE1" w14:textId="77777777" w:rsidR="0070589C" w:rsidRPr="00F36AAC" w:rsidRDefault="0070589C" w:rsidP="0070589C">
      <w:pPr>
        <w:tabs>
          <w:tab w:val="left" w:pos="563"/>
        </w:tabs>
        <w:kinsoku w:val="0"/>
        <w:overflowPunct w:val="0"/>
        <w:jc w:val="both"/>
      </w:pPr>
    </w:p>
    <w:p w14:paraId="05D3C92B" w14:textId="77777777" w:rsidR="0070589C" w:rsidRPr="00F36AAC" w:rsidRDefault="0070589C" w:rsidP="0070589C">
      <w:pPr>
        <w:tabs>
          <w:tab w:val="left" w:pos="563"/>
        </w:tabs>
        <w:kinsoku w:val="0"/>
        <w:overflowPunct w:val="0"/>
        <w:jc w:val="both"/>
      </w:pPr>
    </w:p>
    <w:p w14:paraId="28D9186A" w14:textId="77777777" w:rsidR="0070589C" w:rsidRDefault="0070589C" w:rsidP="0070589C">
      <w:pPr>
        <w:ind w:right="828"/>
        <w:jc w:val="both"/>
      </w:pPr>
    </w:p>
    <w:p w14:paraId="7B2254F1" w14:textId="77777777" w:rsidR="0070589C" w:rsidRDefault="0070589C"/>
    <w:sectPr w:rsidR="0070589C" w:rsidSect="00D51B7B">
      <w:headerReference w:type="default" r:id="rId88"/>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7" w:author="Sarah Katrin Hyde" w:date="2020-07-22T16:33:00Z" w:initials="SKH">
    <w:p w14:paraId="2B4067B7" w14:textId="77777777" w:rsidR="00B35D9A" w:rsidRDefault="00B35D9A" w:rsidP="0070589C">
      <w:pPr>
        <w:pStyle w:val="CommentText"/>
      </w:pPr>
      <w:r>
        <w:rPr>
          <w:rStyle w:val="CommentReference"/>
        </w:rPr>
        <w:annotationRef/>
      </w:r>
      <w:r>
        <w:t xml:space="preserve">All 3 questions are missing here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B4067B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22C2E8ED" w16cex:dateUtc="2020-07-22T22: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B4067B7" w16cid:durableId="22C2E8E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AC2A8" w14:textId="77777777" w:rsidR="006B7BF4" w:rsidRDefault="006B7BF4">
      <w:r>
        <w:separator/>
      </w:r>
    </w:p>
  </w:endnote>
  <w:endnote w:type="continuationSeparator" w:id="0">
    <w:p w14:paraId="50277B94" w14:textId="77777777" w:rsidR="006B7BF4" w:rsidRDefault="006B7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TimesNewRoman,Itali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97048547"/>
      <w:docPartObj>
        <w:docPartGallery w:val="Page Numbers (Bottom of Page)"/>
        <w:docPartUnique/>
      </w:docPartObj>
    </w:sdtPr>
    <w:sdtContent>
      <w:p w14:paraId="59E03DA2" w14:textId="77777777" w:rsidR="00B35D9A" w:rsidRDefault="00B35D9A" w:rsidP="00B35D9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AA94712" w14:textId="77777777" w:rsidR="00B35D9A" w:rsidRDefault="00B35D9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0882039"/>
      <w:docPartObj>
        <w:docPartGallery w:val="Page Numbers (Bottom of Page)"/>
        <w:docPartUnique/>
      </w:docPartObj>
    </w:sdtPr>
    <w:sdtContent>
      <w:p w14:paraId="43A5C698" w14:textId="7617AA3D" w:rsidR="1A23D4C7" w:rsidRDefault="1A23D4C7" w:rsidP="1A23D4C7">
        <w:pPr>
          <w:pStyle w:val="Footer"/>
          <w:rPr>
            <w:rStyle w:val="PageNumber"/>
            <w:noProof/>
          </w:rPr>
        </w:pPr>
      </w:p>
      <w:p w14:paraId="0C959BAD" w14:textId="35C86ADB" w:rsidR="00B35D9A" w:rsidRDefault="00B35D9A" w:rsidP="00B35D9A">
        <w:pPr>
          <w:pStyle w:val="Footer"/>
          <w:framePr w:wrap="none" w:vAnchor="text" w:hAnchor="margin" w:xAlign="center" w:y="1"/>
          <w:rPr>
            <w:rStyle w:val="PageNumber"/>
          </w:rPr>
        </w:pPr>
        <w:r w:rsidRPr="1A23D4C7">
          <w:rPr>
            <w:rStyle w:val="PageNumber"/>
            <w:noProof/>
          </w:rPr>
          <w:fldChar w:fldCharType="begin"/>
        </w:r>
        <w:r w:rsidRPr="1A23D4C7">
          <w:rPr>
            <w:rStyle w:val="PageNumber"/>
          </w:rPr>
          <w:instrText xml:space="preserve"> PAGE </w:instrText>
        </w:r>
        <w:r w:rsidRPr="1A23D4C7">
          <w:rPr>
            <w:rStyle w:val="PageNumber"/>
          </w:rPr>
          <w:fldChar w:fldCharType="separate"/>
        </w:r>
        <w:r w:rsidR="1A23D4C7" w:rsidRPr="1A23D4C7">
          <w:rPr>
            <w:rStyle w:val="PageNumber"/>
            <w:noProof/>
          </w:rPr>
          <w:t>28</w:t>
        </w:r>
        <w:r w:rsidRPr="1A23D4C7">
          <w:rPr>
            <w:rStyle w:val="PageNumber"/>
            <w:noProof/>
          </w:rPr>
          <w:fldChar w:fldCharType="end"/>
        </w:r>
      </w:p>
    </w:sdtContent>
  </w:sdt>
  <w:p w14:paraId="6281FCF5" w14:textId="77777777" w:rsidR="00B35D9A" w:rsidRDefault="00B35D9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97100030"/>
      <w:docPartObj>
        <w:docPartGallery w:val="Page Numbers (Bottom of Page)"/>
        <w:docPartUnique/>
      </w:docPartObj>
    </w:sdtPr>
    <w:sdtContent>
      <w:p w14:paraId="2F860425" w14:textId="77777777" w:rsidR="00B35D9A" w:rsidRDefault="00B35D9A" w:rsidP="00B35D9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59C520" w14:textId="77777777" w:rsidR="00B35D9A" w:rsidRDefault="00B35D9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82042887"/>
      <w:docPartObj>
        <w:docPartGallery w:val="Page Numbers (Bottom of Page)"/>
        <w:docPartUnique/>
      </w:docPartObj>
    </w:sdtPr>
    <w:sdtContent>
      <w:p w14:paraId="318509D1" w14:textId="26FA2867" w:rsidR="00B35D9A" w:rsidRDefault="00B35D9A" w:rsidP="00B35D9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D777F6">
          <w:rPr>
            <w:rStyle w:val="PageNumber"/>
            <w:noProof/>
          </w:rPr>
          <w:t>153</w:t>
        </w:r>
        <w:r>
          <w:rPr>
            <w:rStyle w:val="PageNumber"/>
          </w:rPr>
          <w:fldChar w:fldCharType="end"/>
        </w:r>
      </w:p>
    </w:sdtContent>
  </w:sdt>
  <w:p w14:paraId="57D67376" w14:textId="77777777" w:rsidR="00B35D9A" w:rsidRDefault="00B35D9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C8ADA8" w14:textId="77777777" w:rsidR="006B7BF4" w:rsidRDefault="006B7BF4">
      <w:r>
        <w:separator/>
      </w:r>
    </w:p>
  </w:footnote>
  <w:footnote w:type="continuationSeparator" w:id="0">
    <w:p w14:paraId="26B8F2E6" w14:textId="77777777" w:rsidR="006B7BF4" w:rsidRDefault="006B7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4500496F" w14:textId="77777777" w:rsidTr="1A23D4C7">
      <w:trPr>
        <w:trHeight w:val="300"/>
      </w:trPr>
      <w:tc>
        <w:tcPr>
          <w:tcW w:w="3120" w:type="dxa"/>
        </w:tcPr>
        <w:p w14:paraId="735DBF8E" w14:textId="374D2E02" w:rsidR="1A23D4C7" w:rsidRDefault="1A23D4C7" w:rsidP="1A23D4C7">
          <w:pPr>
            <w:pStyle w:val="Header"/>
            <w:ind w:left="-115"/>
          </w:pPr>
        </w:p>
      </w:tc>
      <w:tc>
        <w:tcPr>
          <w:tcW w:w="3120" w:type="dxa"/>
        </w:tcPr>
        <w:p w14:paraId="27249A42" w14:textId="35214F45" w:rsidR="1A23D4C7" w:rsidRDefault="1A23D4C7" w:rsidP="1A23D4C7">
          <w:pPr>
            <w:pStyle w:val="Header"/>
            <w:jc w:val="center"/>
          </w:pPr>
        </w:p>
      </w:tc>
      <w:tc>
        <w:tcPr>
          <w:tcW w:w="3120" w:type="dxa"/>
        </w:tcPr>
        <w:p w14:paraId="1BEC5C34" w14:textId="710B10BC" w:rsidR="1A23D4C7" w:rsidRDefault="1A23D4C7" w:rsidP="1A23D4C7">
          <w:pPr>
            <w:pStyle w:val="Header"/>
            <w:ind w:right="-115"/>
            <w:jc w:val="right"/>
          </w:pPr>
        </w:p>
      </w:tc>
    </w:tr>
  </w:tbl>
  <w:p w14:paraId="446A6236" w14:textId="13DD79F4" w:rsidR="1A23D4C7" w:rsidRDefault="1A23D4C7" w:rsidP="1A23D4C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4815C86F" w14:textId="77777777" w:rsidTr="1A23D4C7">
      <w:trPr>
        <w:trHeight w:val="300"/>
      </w:trPr>
      <w:tc>
        <w:tcPr>
          <w:tcW w:w="3120" w:type="dxa"/>
        </w:tcPr>
        <w:p w14:paraId="033D8450" w14:textId="5AE04423" w:rsidR="1A23D4C7" w:rsidRDefault="1A23D4C7" w:rsidP="1A23D4C7">
          <w:pPr>
            <w:pStyle w:val="Header"/>
            <w:ind w:left="-115"/>
          </w:pPr>
        </w:p>
      </w:tc>
      <w:tc>
        <w:tcPr>
          <w:tcW w:w="3120" w:type="dxa"/>
        </w:tcPr>
        <w:p w14:paraId="3F9C1BD4" w14:textId="60B93FA7" w:rsidR="1A23D4C7" w:rsidRDefault="1A23D4C7" w:rsidP="1A23D4C7">
          <w:pPr>
            <w:pStyle w:val="Header"/>
            <w:jc w:val="center"/>
          </w:pPr>
        </w:p>
      </w:tc>
      <w:tc>
        <w:tcPr>
          <w:tcW w:w="3120" w:type="dxa"/>
        </w:tcPr>
        <w:p w14:paraId="20175286" w14:textId="25E2860F" w:rsidR="1A23D4C7" w:rsidRDefault="1A23D4C7" w:rsidP="1A23D4C7">
          <w:pPr>
            <w:pStyle w:val="Header"/>
            <w:ind w:right="-115"/>
            <w:jc w:val="right"/>
          </w:pPr>
        </w:p>
      </w:tc>
    </w:tr>
  </w:tbl>
  <w:p w14:paraId="67B7BC89" w14:textId="35E068AA" w:rsidR="1A23D4C7" w:rsidRDefault="1A23D4C7" w:rsidP="1A23D4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5A2EE65D" w14:textId="77777777" w:rsidTr="1A23D4C7">
      <w:trPr>
        <w:trHeight w:val="300"/>
      </w:trPr>
      <w:tc>
        <w:tcPr>
          <w:tcW w:w="3120" w:type="dxa"/>
        </w:tcPr>
        <w:p w14:paraId="02E3CA33" w14:textId="45018E3C" w:rsidR="1A23D4C7" w:rsidRDefault="1A23D4C7" w:rsidP="1A23D4C7">
          <w:pPr>
            <w:pStyle w:val="Header"/>
            <w:ind w:left="-115"/>
          </w:pPr>
        </w:p>
      </w:tc>
      <w:tc>
        <w:tcPr>
          <w:tcW w:w="3120" w:type="dxa"/>
        </w:tcPr>
        <w:p w14:paraId="2DB6BD98" w14:textId="0EFC3401" w:rsidR="1A23D4C7" w:rsidRDefault="1A23D4C7" w:rsidP="1A23D4C7">
          <w:pPr>
            <w:pStyle w:val="Header"/>
            <w:jc w:val="center"/>
          </w:pPr>
        </w:p>
      </w:tc>
      <w:tc>
        <w:tcPr>
          <w:tcW w:w="3120" w:type="dxa"/>
        </w:tcPr>
        <w:p w14:paraId="0C0335D4" w14:textId="3347CDA8" w:rsidR="1A23D4C7" w:rsidRDefault="1A23D4C7" w:rsidP="1A23D4C7">
          <w:pPr>
            <w:pStyle w:val="Header"/>
            <w:ind w:right="-115"/>
            <w:jc w:val="right"/>
          </w:pPr>
        </w:p>
      </w:tc>
    </w:tr>
  </w:tbl>
  <w:p w14:paraId="005E0AC4" w14:textId="334EF0C4" w:rsidR="1A23D4C7" w:rsidRDefault="1A23D4C7" w:rsidP="1A23D4C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63B0D684" w14:textId="77777777" w:rsidTr="1A23D4C7">
      <w:trPr>
        <w:trHeight w:val="300"/>
      </w:trPr>
      <w:tc>
        <w:tcPr>
          <w:tcW w:w="3120" w:type="dxa"/>
        </w:tcPr>
        <w:p w14:paraId="77B6CE0D" w14:textId="0B24783F" w:rsidR="1A23D4C7" w:rsidRDefault="1A23D4C7" w:rsidP="1A23D4C7">
          <w:pPr>
            <w:pStyle w:val="Header"/>
            <w:ind w:left="-115"/>
          </w:pPr>
        </w:p>
      </w:tc>
      <w:tc>
        <w:tcPr>
          <w:tcW w:w="3120" w:type="dxa"/>
        </w:tcPr>
        <w:p w14:paraId="232D5C05" w14:textId="2D536C49" w:rsidR="1A23D4C7" w:rsidRDefault="1A23D4C7" w:rsidP="1A23D4C7">
          <w:pPr>
            <w:pStyle w:val="Header"/>
            <w:jc w:val="center"/>
          </w:pPr>
        </w:p>
      </w:tc>
      <w:tc>
        <w:tcPr>
          <w:tcW w:w="3120" w:type="dxa"/>
        </w:tcPr>
        <w:p w14:paraId="58A9A25F" w14:textId="57C38EAC" w:rsidR="1A23D4C7" w:rsidRDefault="1A23D4C7" w:rsidP="1A23D4C7">
          <w:pPr>
            <w:pStyle w:val="Header"/>
            <w:ind w:right="-115"/>
            <w:jc w:val="right"/>
          </w:pPr>
        </w:p>
      </w:tc>
    </w:tr>
  </w:tbl>
  <w:p w14:paraId="6CCEA7E3" w14:textId="4E213219" w:rsidR="1A23D4C7" w:rsidRDefault="1A23D4C7" w:rsidP="1A23D4C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3182CA2C" w14:textId="77777777" w:rsidTr="1A23D4C7">
      <w:trPr>
        <w:trHeight w:val="300"/>
      </w:trPr>
      <w:tc>
        <w:tcPr>
          <w:tcW w:w="3120" w:type="dxa"/>
        </w:tcPr>
        <w:p w14:paraId="7617435B" w14:textId="04D40587" w:rsidR="1A23D4C7" w:rsidRDefault="1A23D4C7" w:rsidP="1A23D4C7">
          <w:pPr>
            <w:pStyle w:val="Header"/>
            <w:ind w:left="-115"/>
          </w:pPr>
        </w:p>
      </w:tc>
      <w:tc>
        <w:tcPr>
          <w:tcW w:w="3120" w:type="dxa"/>
        </w:tcPr>
        <w:p w14:paraId="6EEA3279" w14:textId="0B999E68" w:rsidR="1A23D4C7" w:rsidRDefault="1A23D4C7" w:rsidP="1A23D4C7">
          <w:pPr>
            <w:pStyle w:val="Header"/>
            <w:jc w:val="center"/>
          </w:pPr>
        </w:p>
      </w:tc>
      <w:tc>
        <w:tcPr>
          <w:tcW w:w="3120" w:type="dxa"/>
        </w:tcPr>
        <w:p w14:paraId="685C91F8" w14:textId="051A7EE6" w:rsidR="1A23D4C7" w:rsidRDefault="1A23D4C7" w:rsidP="1A23D4C7">
          <w:pPr>
            <w:pStyle w:val="Header"/>
            <w:ind w:right="-115"/>
            <w:jc w:val="right"/>
          </w:pPr>
        </w:p>
      </w:tc>
    </w:tr>
  </w:tbl>
  <w:p w14:paraId="2F54985C" w14:textId="32F23035" w:rsidR="1A23D4C7" w:rsidRDefault="1A23D4C7" w:rsidP="1A23D4C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3F71D665" w14:textId="77777777" w:rsidTr="1A23D4C7">
      <w:trPr>
        <w:trHeight w:val="300"/>
      </w:trPr>
      <w:tc>
        <w:tcPr>
          <w:tcW w:w="3120" w:type="dxa"/>
        </w:tcPr>
        <w:p w14:paraId="6095D9C2" w14:textId="21FDC7FC" w:rsidR="1A23D4C7" w:rsidRDefault="1A23D4C7" w:rsidP="1A23D4C7">
          <w:pPr>
            <w:pStyle w:val="Header"/>
            <w:ind w:left="-115"/>
          </w:pPr>
        </w:p>
      </w:tc>
      <w:tc>
        <w:tcPr>
          <w:tcW w:w="3120" w:type="dxa"/>
        </w:tcPr>
        <w:p w14:paraId="6C7DDE65" w14:textId="5AF91693" w:rsidR="1A23D4C7" w:rsidRDefault="1A23D4C7" w:rsidP="1A23D4C7">
          <w:pPr>
            <w:pStyle w:val="Header"/>
            <w:jc w:val="center"/>
          </w:pPr>
        </w:p>
      </w:tc>
      <w:tc>
        <w:tcPr>
          <w:tcW w:w="3120" w:type="dxa"/>
        </w:tcPr>
        <w:p w14:paraId="04E370BE" w14:textId="4C147B90" w:rsidR="1A23D4C7" w:rsidRDefault="1A23D4C7" w:rsidP="1A23D4C7">
          <w:pPr>
            <w:pStyle w:val="Header"/>
            <w:ind w:right="-115"/>
            <w:jc w:val="right"/>
          </w:pPr>
        </w:p>
      </w:tc>
    </w:tr>
  </w:tbl>
  <w:p w14:paraId="304C6503" w14:textId="570CBE35" w:rsidR="1A23D4C7" w:rsidRDefault="1A23D4C7" w:rsidP="1A23D4C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1A23D4C7" w14:paraId="1C910467" w14:textId="77777777" w:rsidTr="1A23D4C7">
      <w:trPr>
        <w:trHeight w:val="300"/>
      </w:trPr>
      <w:tc>
        <w:tcPr>
          <w:tcW w:w="3120" w:type="dxa"/>
        </w:tcPr>
        <w:p w14:paraId="1BF291FF" w14:textId="588B45C0" w:rsidR="1A23D4C7" w:rsidRDefault="1A23D4C7" w:rsidP="1A23D4C7">
          <w:pPr>
            <w:pStyle w:val="Header"/>
            <w:ind w:left="-115"/>
          </w:pPr>
        </w:p>
      </w:tc>
      <w:tc>
        <w:tcPr>
          <w:tcW w:w="3120" w:type="dxa"/>
        </w:tcPr>
        <w:p w14:paraId="7CA95218" w14:textId="7714B447" w:rsidR="1A23D4C7" w:rsidRDefault="1A23D4C7" w:rsidP="1A23D4C7">
          <w:pPr>
            <w:pStyle w:val="Header"/>
            <w:jc w:val="center"/>
          </w:pPr>
        </w:p>
      </w:tc>
      <w:tc>
        <w:tcPr>
          <w:tcW w:w="3120" w:type="dxa"/>
        </w:tcPr>
        <w:p w14:paraId="2A991B47" w14:textId="1F99A698" w:rsidR="1A23D4C7" w:rsidRDefault="1A23D4C7" w:rsidP="1A23D4C7">
          <w:pPr>
            <w:pStyle w:val="Header"/>
            <w:ind w:right="-115"/>
            <w:jc w:val="right"/>
          </w:pPr>
        </w:p>
      </w:tc>
    </w:tr>
  </w:tbl>
  <w:p w14:paraId="614A6DBB" w14:textId="4A49AF11" w:rsidR="1A23D4C7" w:rsidRDefault="1A23D4C7" w:rsidP="1A23D4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4"/>
    <w:multiLevelType w:val="multilevel"/>
    <w:tmpl w:val="00000887"/>
    <w:lvl w:ilvl="0">
      <w:start w:val="2"/>
      <w:numFmt w:val="upperLetter"/>
      <w:lvlText w:val="%1."/>
      <w:lvlJc w:val="left"/>
      <w:pPr>
        <w:ind w:left="8572" w:hanging="403"/>
      </w:pPr>
      <w:rPr>
        <w:rFonts w:ascii="Times New Roman" w:hAnsi="Times New Roman" w:cs="Times New Roman"/>
        <w:b/>
        <w:bCs/>
        <w:spacing w:val="-4"/>
        <w:w w:val="99"/>
        <w:sz w:val="24"/>
        <w:szCs w:val="24"/>
      </w:rPr>
    </w:lvl>
    <w:lvl w:ilvl="1">
      <w:numFmt w:val="bullet"/>
      <w:lvlText w:val="•"/>
      <w:lvlJc w:val="left"/>
      <w:pPr>
        <w:ind w:left="9550" w:hanging="403"/>
      </w:pPr>
    </w:lvl>
    <w:lvl w:ilvl="2">
      <w:numFmt w:val="bullet"/>
      <w:lvlText w:val="•"/>
      <w:lvlJc w:val="left"/>
      <w:pPr>
        <w:ind w:left="10530" w:hanging="403"/>
      </w:pPr>
    </w:lvl>
    <w:lvl w:ilvl="3">
      <w:numFmt w:val="bullet"/>
      <w:lvlText w:val="•"/>
      <w:lvlJc w:val="left"/>
      <w:pPr>
        <w:ind w:left="11510" w:hanging="403"/>
      </w:pPr>
    </w:lvl>
    <w:lvl w:ilvl="4">
      <w:numFmt w:val="bullet"/>
      <w:lvlText w:val="•"/>
      <w:lvlJc w:val="left"/>
      <w:pPr>
        <w:ind w:left="12490" w:hanging="403"/>
      </w:pPr>
    </w:lvl>
    <w:lvl w:ilvl="5">
      <w:numFmt w:val="bullet"/>
      <w:lvlText w:val="•"/>
      <w:lvlJc w:val="left"/>
      <w:pPr>
        <w:ind w:left="13470" w:hanging="403"/>
      </w:pPr>
    </w:lvl>
    <w:lvl w:ilvl="6">
      <w:numFmt w:val="bullet"/>
      <w:lvlText w:val="•"/>
      <w:lvlJc w:val="left"/>
      <w:pPr>
        <w:ind w:left="14450" w:hanging="403"/>
      </w:pPr>
    </w:lvl>
    <w:lvl w:ilvl="7">
      <w:numFmt w:val="bullet"/>
      <w:lvlText w:val="•"/>
      <w:lvlJc w:val="left"/>
      <w:pPr>
        <w:ind w:left="15430" w:hanging="403"/>
      </w:pPr>
    </w:lvl>
    <w:lvl w:ilvl="8">
      <w:numFmt w:val="bullet"/>
      <w:lvlText w:val="•"/>
      <w:lvlJc w:val="left"/>
      <w:pPr>
        <w:ind w:left="16410" w:hanging="403"/>
      </w:pPr>
    </w:lvl>
  </w:abstractNum>
  <w:abstractNum w:abstractNumId="1" w15:restartNumberingAfterBreak="0">
    <w:nsid w:val="00000409"/>
    <w:multiLevelType w:val="multilevel"/>
    <w:tmpl w:val="0000088C"/>
    <w:lvl w:ilvl="0">
      <w:numFmt w:val="bullet"/>
      <w:lvlText w:val="•"/>
      <w:lvlJc w:val="left"/>
      <w:pPr>
        <w:ind w:left="880" w:hanging="720"/>
      </w:pPr>
      <w:rPr>
        <w:rFonts w:ascii="Times New Roman" w:hAnsi="Times New Roman"/>
        <w:b w:val="0"/>
        <w:w w:val="99"/>
        <w:sz w:val="24"/>
      </w:rPr>
    </w:lvl>
    <w:lvl w:ilvl="1">
      <w:numFmt w:val="bullet"/>
      <w:lvlText w:val="•"/>
      <w:lvlJc w:val="left"/>
      <w:pPr>
        <w:ind w:left="1828" w:hanging="720"/>
      </w:pPr>
    </w:lvl>
    <w:lvl w:ilvl="2">
      <w:numFmt w:val="bullet"/>
      <w:lvlText w:val="•"/>
      <w:lvlJc w:val="left"/>
      <w:pPr>
        <w:ind w:left="2776" w:hanging="720"/>
      </w:pPr>
    </w:lvl>
    <w:lvl w:ilvl="3">
      <w:numFmt w:val="bullet"/>
      <w:lvlText w:val="•"/>
      <w:lvlJc w:val="left"/>
      <w:pPr>
        <w:ind w:left="3724" w:hanging="720"/>
      </w:pPr>
    </w:lvl>
    <w:lvl w:ilvl="4">
      <w:numFmt w:val="bullet"/>
      <w:lvlText w:val="•"/>
      <w:lvlJc w:val="left"/>
      <w:pPr>
        <w:ind w:left="4672" w:hanging="720"/>
      </w:pPr>
    </w:lvl>
    <w:lvl w:ilvl="5">
      <w:numFmt w:val="bullet"/>
      <w:lvlText w:val="•"/>
      <w:lvlJc w:val="left"/>
      <w:pPr>
        <w:ind w:left="5620" w:hanging="720"/>
      </w:pPr>
    </w:lvl>
    <w:lvl w:ilvl="6">
      <w:numFmt w:val="bullet"/>
      <w:lvlText w:val="•"/>
      <w:lvlJc w:val="left"/>
      <w:pPr>
        <w:ind w:left="6568" w:hanging="720"/>
      </w:pPr>
    </w:lvl>
    <w:lvl w:ilvl="7">
      <w:numFmt w:val="bullet"/>
      <w:lvlText w:val="•"/>
      <w:lvlJc w:val="left"/>
      <w:pPr>
        <w:ind w:left="7516" w:hanging="720"/>
      </w:pPr>
    </w:lvl>
    <w:lvl w:ilvl="8">
      <w:numFmt w:val="bullet"/>
      <w:lvlText w:val="•"/>
      <w:lvlJc w:val="left"/>
      <w:pPr>
        <w:ind w:left="8464" w:hanging="720"/>
      </w:pPr>
    </w:lvl>
  </w:abstractNum>
  <w:abstractNum w:abstractNumId="2" w15:restartNumberingAfterBreak="0">
    <w:nsid w:val="00000422"/>
    <w:multiLevelType w:val="multilevel"/>
    <w:tmpl w:val="000008A5"/>
    <w:lvl w:ilvl="0">
      <w:start w:val="2"/>
      <w:numFmt w:val="upperLetter"/>
      <w:lvlText w:val="%1."/>
      <w:lvlJc w:val="left"/>
      <w:pPr>
        <w:ind w:left="500" w:hanging="341"/>
      </w:pPr>
      <w:rPr>
        <w:rFonts w:ascii="Times New Roman" w:hAnsi="Times New Roman" w:cs="Times New Roman"/>
        <w:b/>
        <w:bCs/>
        <w:w w:val="99"/>
        <w:sz w:val="24"/>
        <w:szCs w:val="24"/>
      </w:rPr>
    </w:lvl>
    <w:lvl w:ilvl="1">
      <w:numFmt w:val="bullet"/>
      <w:lvlText w:val="•"/>
      <w:lvlJc w:val="left"/>
      <w:pPr>
        <w:ind w:left="1486" w:hanging="341"/>
      </w:pPr>
    </w:lvl>
    <w:lvl w:ilvl="2">
      <w:numFmt w:val="bullet"/>
      <w:lvlText w:val="•"/>
      <w:lvlJc w:val="left"/>
      <w:pPr>
        <w:ind w:left="2472" w:hanging="341"/>
      </w:pPr>
    </w:lvl>
    <w:lvl w:ilvl="3">
      <w:numFmt w:val="bullet"/>
      <w:lvlText w:val="•"/>
      <w:lvlJc w:val="left"/>
      <w:pPr>
        <w:ind w:left="3458" w:hanging="341"/>
      </w:pPr>
    </w:lvl>
    <w:lvl w:ilvl="4">
      <w:numFmt w:val="bullet"/>
      <w:lvlText w:val="•"/>
      <w:lvlJc w:val="left"/>
      <w:pPr>
        <w:ind w:left="4444" w:hanging="341"/>
      </w:pPr>
    </w:lvl>
    <w:lvl w:ilvl="5">
      <w:numFmt w:val="bullet"/>
      <w:lvlText w:val="•"/>
      <w:lvlJc w:val="left"/>
      <w:pPr>
        <w:ind w:left="5430" w:hanging="341"/>
      </w:pPr>
    </w:lvl>
    <w:lvl w:ilvl="6">
      <w:numFmt w:val="bullet"/>
      <w:lvlText w:val="•"/>
      <w:lvlJc w:val="left"/>
      <w:pPr>
        <w:ind w:left="6416" w:hanging="341"/>
      </w:pPr>
    </w:lvl>
    <w:lvl w:ilvl="7">
      <w:numFmt w:val="bullet"/>
      <w:lvlText w:val="•"/>
      <w:lvlJc w:val="left"/>
      <w:pPr>
        <w:ind w:left="7402" w:hanging="341"/>
      </w:pPr>
    </w:lvl>
    <w:lvl w:ilvl="8">
      <w:numFmt w:val="bullet"/>
      <w:lvlText w:val="•"/>
      <w:lvlJc w:val="left"/>
      <w:pPr>
        <w:ind w:left="8388" w:hanging="341"/>
      </w:pPr>
    </w:lvl>
  </w:abstractNum>
  <w:abstractNum w:abstractNumId="3" w15:restartNumberingAfterBreak="0">
    <w:nsid w:val="00000423"/>
    <w:multiLevelType w:val="multilevel"/>
    <w:tmpl w:val="000008A6"/>
    <w:lvl w:ilvl="0">
      <w:numFmt w:val="bullet"/>
      <w:lvlText w:val="•"/>
      <w:lvlJc w:val="left"/>
      <w:pPr>
        <w:ind w:left="880" w:hanging="720"/>
      </w:pPr>
      <w:rPr>
        <w:rFonts w:ascii="Times New Roman" w:hAnsi="Times New Roman"/>
        <w:b w:val="0"/>
        <w:w w:val="99"/>
        <w:sz w:val="24"/>
      </w:rPr>
    </w:lvl>
    <w:lvl w:ilvl="1">
      <w:numFmt w:val="bullet"/>
      <w:lvlText w:val="•"/>
      <w:lvlJc w:val="left"/>
      <w:pPr>
        <w:ind w:left="1828" w:hanging="720"/>
      </w:pPr>
    </w:lvl>
    <w:lvl w:ilvl="2">
      <w:numFmt w:val="bullet"/>
      <w:lvlText w:val="•"/>
      <w:lvlJc w:val="left"/>
      <w:pPr>
        <w:ind w:left="2776" w:hanging="720"/>
      </w:pPr>
    </w:lvl>
    <w:lvl w:ilvl="3">
      <w:numFmt w:val="bullet"/>
      <w:lvlText w:val="•"/>
      <w:lvlJc w:val="left"/>
      <w:pPr>
        <w:ind w:left="3724" w:hanging="720"/>
      </w:pPr>
    </w:lvl>
    <w:lvl w:ilvl="4">
      <w:numFmt w:val="bullet"/>
      <w:lvlText w:val="•"/>
      <w:lvlJc w:val="left"/>
      <w:pPr>
        <w:ind w:left="4672" w:hanging="720"/>
      </w:pPr>
    </w:lvl>
    <w:lvl w:ilvl="5">
      <w:numFmt w:val="bullet"/>
      <w:lvlText w:val="•"/>
      <w:lvlJc w:val="left"/>
      <w:pPr>
        <w:ind w:left="5620" w:hanging="720"/>
      </w:pPr>
    </w:lvl>
    <w:lvl w:ilvl="6">
      <w:numFmt w:val="bullet"/>
      <w:lvlText w:val="•"/>
      <w:lvlJc w:val="left"/>
      <w:pPr>
        <w:ind w:left="6568" w:hanging="720"/>
      </w:pPr>
    </w:lvl>
    <w:lvl w:ilvl="7">
      <w:numFmt w:val="bullet"/>
      <w:lvlText w:val="•"/>
      <w:lvlJc w:val="left"/>
      <w:pPr>
        <w:ind w:left="7516" w:hanging="720"/>
      </w:pPr>
    </w:lvl>
    <w:lvl w:ilvl="8">
      <w:numFmt w:val="bullet"/>
      <w:lvlText w:val="•"/>
      <w:lvlJc w:val="left"/>
      <w:pPr>
        <w:ind w:left="8464" w:hanging="720"/>
      </w:pPr>
    </w:lvl>
  </w:abstractNum>
  <w:abstractNum w:abstractNumId="4" w15:restartNumberingAfterBreak="0">
    <w:nsid w:val="00000424"/>
    <w:multiLevelType w:val="multilevel"/>
    <w:tmpl w:val="000008A7"/>
    <w:lvl w:ilvl="0">
      <w:numFmt w:val="bullet"/>
      <w:lvlText w:val="•"/>
      <w:lvlJc w:val="left"/>
      <w:pPr>
        <w:ind w:left="880" w:hanging="720"/>
      </w:pPr>
      <w:rPr>
        <w:rFonts w:ascii="Arial" w:hAnsi="Arial"/>
        <w:b w:val="0"/>
        <w:w w:val="114"/>
        <w:sz w:val="24"/>
      </w:rPr>
    </w:lvl>
    <w:lvl w:ilvl="1">
      <w:numFmt w:val="bullet"/>
      <w:lvlText w:val="•"/>
      <w:lvlJc w:val="left"/>
      <w:pPr>
        <w:ind w:left="1828" w:hanging="720"/>
      </w:pPr>
    </w:lvl>
    <w:lvl w:ilvl="2">
      <w:numFmt w:val="bullet"/>
      <w:lvlText w:val="•"/>
      <w:lvlJc w:val="left"/>
      <w:pPr>
        <w:ind w:left="2776" w:hanging="720"/>
      </w:pPr>
    </w:lvl>
    <w:lvl w:ilvl="3">
      <w:numFmt w:val="bullet"/>
      <w:lvlText w:val="•"/>
      <w:lvlJc w:val="left"/>
      <w:pPr>
        <w:ind w:left="3724" w:hanging="720"/>
      </w:pPr>
    </w:lvl>
    <w:lvl w:ilvl="4">
      <w:numFmt w:val="bullet"/>
      <w:lvlText w:val="•"/>
      <w:lvlJc w:val="left"/>
      <w:pPr>
        <w:ind w:left="4672" w:hanging="720"/>
      </w:pPr>
    </w:lvl>
    <w:lvl w:ilvl="5">
      <w:numFmt w:val="bullet"/>
      <w:lvlText w:val="•"/>
      <w:lvlJc w:val="left"/>
      <w:pPr>
        <w:ind w:left="5620" w:hanging="720"/>
      </w:pPr>
    </w:lvl>
    <w:lvl w:ilvl="6">
      <w:numFmt w:val="bullet"/>
      <w:lvlText w:val="•"/>
      <w:lvlJc w:val="left"/>
      <w:pPr>
        <w:ind w:left="6568" w:hanging="720"/>
      </w:pPr>
    </w:lvl>
    <w:lvl w:ilvl="7">
      <w:numFmt w:val="bullet"/>
      <w:lvlText w:val="•"/>
      <w:lvlJc w:val="left"/>
      <w:pPr>
        <w:ind w:left="7516" w:hanging="720"/>
      </w:pPr>
    </w:lvl>
    <w:lvl w:ilvl="8">
      <w:numFmt w:val="bullet"/>
      <w:lvlText w:val="•"/>
      <w:lvlJc w:val="left"/>
      <w:pPr>
        <w:ind w:left="8464" w:hanging="720"/>
      </w:pPr>
    </w:lvl>
  </w:abstractNum>
  <w:abstractNum w:abstractNumId="5" w15:restartNumberingAfterBreak="0">
    <w:nsid w:val="00000425"/>
    <w:multiLevelType w:val="multilevel"/>
    <w:tmpl w:val="000008A8"/>
    <w:lvl w:ilvl="0">
      <w:numFmt w:val="bullet"/>
      <w:lvlText w:val="•"/>
      <w:lvlJc w:val="left"/>
      <w:pPr>
        <w:ind w:left="880" w:hanging="720"/>
      </w:pPr>
      <w:rPr>
        <w:rFonts w:ascii="Times New Roman" w:hAnsi="Times New Roman"/>
        <w:b w:val="0"/>
        <w:w w:val="99"/>
        <w:sz w:val="24"/>
      </w:rPr>
    </w:lvl>
    <w:lvl w:ilvl="1">
      <w:numFmt w:val="bullet"/>
      <w:lvlText w:val="•"/>
      <w:lvlJc w:val="left"/>
      <w:pPr>
        <w:ind w:left="1600" w:hanging="720"/>
      </w:pPr>
      <w:rPr>
        <w:rFonts w:ascii="Times New Roman" w:hAnsi="Times New Roman"/>
        <w:b w:val="0"/>
        <w:w w:val="99"/>
        <w:sz w:val="24"/>
      </w:rPr>
    </w:lvl>
    <w:lvl w:ilvl="2">
      <w:numFmt w:val="bullet"/>
      <w:lvlText w:val="•"/>
      <w:lvlJc w:val="left"/>
      <w:pPr>
        <w:ind w:left="2573" w:hanging="720"/>
      </w:pPr>
    </w:lvl>
    <w:lvl w:ilvl="3">
      <w:numFmt w:val="bullet"/>
      <w:lvlText w:val="•"/>
      <w:lvlJc w:val="left"/>
      <w:pPr>
        <w:ind w:left="3546" w:hanging="720"/>
      </w:pPr>
    </w:lvl>
    <w:lvl w:ilvl="4">
      <w:numFmt w:val="bullet"/>
      <w:lvlText w:val="•"/>
      <w:lvlJc w:val="left"/>
      <w:pPr>
        <w:ind w:left="4520" w:hanging="720"/>
      </w:pPr>
    </w:lvl>
    <w:lvl w:ilvl="5">
      <w:numFmt w:val="bullet"/>
      <w:lvlText w:val="•"/>
      <w:lvlJc w:val="left"/>
      <w:pPr>
        <w:ind w:left="5493" w:hanging="720"/>
      </w:pPr>
    </w:lvl>
    <w:lvl w:ilvl="6">
      <w:numFmt w:val="bullet"/>
      <w:lvlText w:val="•"/>
      <w:lvlJc w:val="left"/>
      <w:pPr>
        <w:ind w:left="6466" w:hanging="720"/>
      </w:pPr>
    </w:lvl>
    <w:lvl w:ilvl="7">
      <w:numFmt w:val="bullet"/>
      <w:lvlText w:val="•"/>
      <w:lvlJc w:val="left"/>
      <w:pPr>
        <w:ind w:left="7440" w:hanging="720"/>
      </w:pPr>
    </w:lvl>
    <w:lvl w:ilvl="8">
      <w:numFmt w:val="bullet"/>
      <w:lvlText w:val="•"/>
      <w:lvlJc w:val="left"/>
      <w:pPr>
        <w:ind w:left="8413" w:hanging="720"/>
      </w:pPr>
    </w:lvl>
  </w:abstractNum>
  <w:abstractNum w:abstractNumId="6" w15:restartNumberingAfterBreak="0">
    <w:nsid w:val="00000428"/>
    <w:multiLevelType w:val="multilevel"/>
    <w:tmpl w:val="000008AB"/>
    <w:lvl w:ilvl="0">
      <w:numFmt w:val="bullet"/>
      <w:lvlText w:val="•"/>
      <w:lvlJc w:val="left"/>
      <w:pPr>
        <w:ind w:left="880" w:hanging="720"/>
      </w:pPr>
      <w:rPr>
        <w:rFonts w:ascii="Times New Roman" w:hAnsi="Times New Roman"/>
        <w:b w:val="0"/>
        <w:w w:val="99"/>
        <w:sz w:val="24"/>
      </w:rPr>
    </w:lvl>
    <w:lvl w:ilvl="1">
      <w:numFmt w:val="bullet"/>
      <w:lvlText w:val="•"/>
      <w:lvlJc w:val="left"/>
      <w:pPr>
        <w:ind w:left="1828" w:hanging="720"/>
      </w:pPr>
    </w:lvl>
    <w:lvl w:ilvl="2">
      <w:numFmt w:val="bullet"/>
      <w:lvlText w:val="•"/>
      <w:lvlJc w:val="left"/>
      <w:pPr>
        <w:ind w:left="2776" w:hanging="720"/>
      </w:pPr>
    </w:lvl>
    <w:lvl w:ilvl="3">
      <w:numFmt w:val="bullet"/>
      <w:lvlText w:val="•"/>
      <w:lvlJc w:val="left"/>
      <w:pPr>
        <w:ind w:left="3724" w:hanging="720"/>
      </w:pPr>
    </w:lvl>
    <w:lvl w:ilvl="4">
      <w:numFmt w:val="bullet"/>
      <w:lvlText w:val="•"/>
      <w:lvlJc w:val="left"/>
      <w:pPr>
        <w:ind w:left="4672" w:hanging="720"/>
      </w:pPr>
    </w:lvl>
    <w:lvl w:ilvl="5">
      <w:numFmt w:val="bullet"/>
      <w:lvlText w:val="•"/>
      <w:lvlJc w:val="left"/>
      <w:pPr>
        <w:ind w:left="5620" w:hanging="720"/>
      </w:pPr>
    </w:lvl>
    <w:lvl w:ilvl="6">
      <w:numFmt w:val="bullet"/>
      <w:lvlText w:val="•"/>
      <w:lvlJc w:val="left"/>
      <w:pPr>
        <w:ind w:left="6568" w:hanging="720"/>
      </w:pPr>
    </w:lvl>
    <w:lvl w:ilvl="7">
      <w:numFmt w:val="bullet"/>
      <w:lvlText w:val="•"/>
      <w:lvlJc w:val="left"/>
      <w:pPr>
        <w:ind w:left="7516" w:hanging="720"/>
      </w:pPr>
    </w:lvl>
    <w:lvl w:ilvl="8">
      <w:numFmt w:val="bullet"/>
      <w:lvlText w:val="•"/>
      <w:lvlJc w:val="left"/>
      <w:pPr>
        <w:ind w:left="8464" w:hanging="720"/>
      </w:pPr>
    </w:lvl>
  </w:abstractNum>
  <w:abstractNum w:abstractNumId="7" w15:restartNumberingAfterBreak="0">
    <w:nsid w:val="07F0400C"/>
    <w:multiLevelType w:val="hybridMultilevel"/>
    <w:tmpl w:val="79C038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F50F5A"/>
    <w:multiLevelType w:val="hybridMultilevel"/>
    <w:tmpl w:val="F7A653EA"/>
    <w:lvl w:ilvl="0" w:tplc="B2807416">
      <w:start w:val="1"/>
      <w:numFmt w:val="decimal"/>
      <w:lvlText w:val="%1."/>
      <w:lvlJc w:val="left"/>
      <w:pPr>
        <w:ind w:left="1080" w:hanging="360"/>
      </w:pPr>
    </w:lvl>
    <w:lvl w:ilvl="1" w:tplc="C9E85F82">
      <w:start w:val="1"/>
      <w:numFmt w:val="lowerLetter"/>
      <w:lvlText w:val="%2."/>
      <w:lvlJc w:val="left"/>
      <w:pPr>
        <w:ind w:left="1800" w:hanging="360"/>
      </w:pPr>
    </w:lvl>
    <w:lvl w:ilvl="2" w:tplc="6CF094DC">
      <w:start w:val="1"/>
      <w:numFmt w:val="lowerRoman"/>
      <w:lvlText w:val="%3."/>
      <w:lvlJc w:val="right"/>
      <w:pPr>
        <w:ind w:left="2520" w:hanging="180"/>
      </w:pPr>
    </w:lvl>
    <w:lvl w:ilvl="3" w:tplc="44281018">
      <w:start w:val="1"/>
      <w:numFmt w:val="decimal"/>
      <w:lvlText w:val="%4."/>
      <w:lvlJc w:val="left"/>
      <w:pPr>
        <w:ind w:left="3240" w:hanging="360"/>
      </w:pPr>
    </w:lvl>
    <w:lvl w:ilvl="4" w:tplc="A5727CAE">
      <w:start w:val="1"/>
      <w:numFmt w:val="lowerLetter"/>
      <w:lvlText w:val="%5."/>
      <w:lvlJc w:val="left"/>
      <w:pPr>
        <w:ind w:left="3960" w:hanging="360"/>
      </w:pPr>
    </w:lvl>
    <w:lvl w:ilvl="5" w:tplc="A3F80036">
      <w:start w:val="1"/>
      <w:numFmt w:val="lowerRoman"/>
      <w:lvlText w:val="%6."/>
      <w:lvlJc w:val="right"/>
      <w:pPr>
        <w:ind w:left="4680" w:hanging="180"/>
      </w:pPr>
    </w:lvl>
    <w:lvl w:ilvl="6" w:tplc="5B7E8E5A">
      <w:start w:val="1"/>
      <w:numFmt w:val="decimal"/>
      <w:lvlText w:val="%7."/>
      <w:lvlJc w:val="left"/>
      <w:pPr>
        <w:ind w:left="5400" w:hanging="360"/>
      </w:pPr>
    </w:lvl>
    <w:lvl w:ilvl="7" w:tplc="B0C4DD4E">
      <w:start w:val="1"/>
      <w:numFmt w:val="lowerLetter"/>
      <w:lvlText w:val="%8."/>
      <w:lvlJc w:val="left"/>
      <w:pPr>
        <w:ind w:left="6120" w:hanging="360"/>
      </w:pPr>
    </w:lvl>
    <w:lvl w:ilvl="8" w:tplc="BC6627A4">
      <w:start w:val="1"/>
      <w:numFmt w:val="lowerRoman"/>
      <w:lvlText w:val="%9."/>
      <w:lvlJc w:val="right"/>
      <w:pPr>
        <w:ind w:left="6840" w:hanging="180"/>
      </w:pPr>
    </w:lvl>
  </w:abstractNum>
  <w:abstractNum w:abstractNumId="9" w15:restartNumberingAfterBreak="0">
    <w:nsid w:val="15FA4285"/>
    <w:multiLevelType w:val="hybridMultilevel"/>
    <w:tmpl w:val="CE0AE7D0"/>
    <w:lvl w:ilvl="0" w:tplc="DBE2114E">
      <w:start w:val="3"/>
      <w:numFmt w:val="decimal"/>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A2A6AA0"/>
    <w:multiLevelType w:val="hybridMultilevel"/>
    <w:tmpl w:val="2F2027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B6A6ADE"/>
    <w:multiLevelType w:val="hybridMultilevel"/>
    <w:tmpl w:val="421C89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36BFA4"/>
    <w:multiLevelType w:val="hybridMultilevel"/>
    <w:tmpl w:val="85E044BC"/>
    <w:lvl w:ilvl="0" w:tplc="2BB8AAAA">
      <w:start w:val="1"/>
      <w:numFmt w:val="decimal"/>
      <w:lvlText w:val="%1."/>
      <w:lvlJc w:val="left"/>
      <w:pPr>
        <w:ind w:left="1080" w:hanging="360"/>
      </w:pPr>
    </w:lvl>
    <w:lvl w:ilvl="1" w:tplc="BE3EDE6C">
      <w:start w:val="1"/>
      <w:numFmt w:val="lowerLetter"/>
      <w:lvlText w:val="%2."/>
      <w:lvlJc w:val="left"/>
      <w:pPr>
        <w:ind w:left="1800" w:hanging="360"/>
      </w:pPr>
    </w:lvl>
    <w:lvl w:ilvl="2" w:tplc="7B120046">
      <w:start w:val="1"/>
      <w:numFmt w:val="lowerRoman"/>
      <w:lvlText w:val="%3."/>
      <w:lvlJc w:val="right"/>
      <w:pPr>
        <w:ind w:left="2520" w:hanging="180"/>
      </w:pPr>
    </w:lvl>
    <w:lvl w:ilvl="3" w:tplc="E932D7DE">
      <w:start w:val="1"/>
      <w:numFmt w:val="decimal"/>
      <w:lvlText w:val="%4."/>
      <w:lvlJc w:val="left"/>
      <w:pPr>
        <w:ind w:left="3240" w:hanging="360"/>
      </w:pPr>
    </w:lvl>
    <w:lvl w:ilvl="4" w:tplc="E49CD57E">
      <w:start w:val="1"/>
      <w:numFmt w:val="lowerLetter"/>
      <w:lvlText w:val="%5."/>
      <w:lvlJc w:val="left"/>
      <w:pPr>
        <w:ind w:left="3960" w:hanging="360"/>
      </w:pPr>
    </w:lvl>
    <w:lvl w:ilvl="5" w:tplc="005403DA">
      <w:start w:val="1"/>
      <w:numFmt w:val="lowerRoman"/>
      <w:lvlText w:val="%6."/>
      <w:lvlJc w:val="right"/>
      <w:pPr>
        <w:ind w:left="4680" w:hanging="180"/>
      </w:pPr>
    </w:lvl>
    <w:lvl w:ilvl="6" w:tplc="36B40AA4">
      <w:start w:val="1"/>
      <w:numFmt w:val="decimal"/>
      <w:lvlText w:val="%7."/>
      <w:lvlJc w:val="left"/>
      <w:pPr>
        <w:ind w:left="5400" w:hanging="360"/>
      </w:pPr>
    </w:lvl>
    <w:lvl w:ilvl="7" w:tplc="9552EC90">
      <w:start w:val="1"/>
      <w:numFmt w:val="lowerLetter"/>
      <w:lvlText w:val="%8."/>
      <w:lvlJc w:val="left"/>
      <w:pPr>
        <w:ind w:left="6120" w:hanging="360"/>
      </w:pPr>
    </w:lvl>
    <w:lvl w:ilvl="8" w:tplc="198EA5D4">
      <w:start w:val="1"/>
      <w:numFmt w:val="lowerRoman"/>
      <w:lvlText w:val="%9."/>
      <w:lvlJc w:val="right"/>
      <w:pPr>
        <w:ind w:left="6840" w:hanging="180"/>
      </w:pPr>
    </w:lvl>
  </w:abstractNum>
  <w:abstractNum w:abstractNumId="13" w15:restartNumberingAfterBreak="0">
    <w:nsid w:val="28951492"/>
    <w:multiLevelType w:val="hybridMultilevel"/>
    <w:tmpl w:val="6E145120"/>
    <w:lvl w:ilvl="0" w:tplc="86CA9D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9864703"/>
    <w:multiLevelType w:val="hybridMultilevel"/>
    <w:tmpl w:val="D6FC3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4A72D2"/>
    <w:multiLevelType w:val="hybridMultilevel"/>
    <w:tmpl w:val="A5B45B92"/>
    <w:lvl w:ilvl="0" w:tplc="32404AF0">
      <w:numFmt w:val="bullet"/>
      <w:lvlText w:val="-"/>
      <w:lvlJc w:val="left"/>
      <w:pPr>
        <w:tabs>
          <w:tab w:val="num" w:pos="1080"/>
        </w:tabs>
        <w:ind w:left="1080" w:hanging="360"/>
      </w:pPr>
      <w:rPr>
        <w:rFonts w:ascii="Times New Roman" w:eastAsia="Times New Roman" w:hAnsi="Times New Roman" w:cs="Times New Roman" w:hint="default"/>
      </w:rPr>
    </w:lvl>
    <w:lvl w:ilvl="1" w:tplc="04090003">
      <w:start w:val="1"/>
      <w:numFmt w:val="bullet"/>
      <w:lvlText w:val="o"/>
      <w:lvlJc w:val="left"/>
      <w:pPr>
        <w:tabs>
          <w:tab w:val="num" w:pos="1980"/>
        </w:tabs>
        <w:ind w:left="198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48323232">
      <w:numFmt w:val="bullet"/>
      <w:lvlText w:val=""/>
      <w:lvlJc w:val="left"/>
      <w:pPr>
        <w:ind w:left="6840" w:hanging="360"/>
      </w:pPr>
      <w:rPr>
        <w:rFonts w:ascii="Wingdings" w:eastAsia="Times New Roman" w:hAnsi="Wingdings" w:cs="Times New Roman" w:hint="default"/>
      </w:rPr>
    </w:lvl>
  </w:abstractNum>
  <w:abstractNum w:abstractNumId="16" w15:restartNumberingAfterBreak="0">
    <w:nsid w:val="326452D4"/>
    <w:multiLevelType w:val="hybridMultilevel"/>
    <w:tmpl w:val="0846AE36"/>
    <w:lvl w:ilvl="0" w:tplc="D3A4BA5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1E29CB"/>
    <w:multiLevelType w:val="hybridMultilevel"/>
    <w:tmpl w:val="F278A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01061C8"/>
    <w:multiLevelType w:val="hybridMultilevel"/>
    <w:tmpl w:val="25467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F701C9"/>
    <w:multiLevelType w:val="hybridMultilevel"/>
    <w:tmpl w:val="EBF8132E"/>
    <w:lvl w:ilvl="0" w:tplc="27960CAE">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1CC799A"/>
    <w:multiLevelType w:val="hybridMultilevel"/>
    <w:tmpl w:val="999EEAEA"/>
    <w:lvl w:ilvl="0" w:tplc="A75860F8">
      <w:start w:val="1"/>
      <w:numFmt w:val="upperLetter"/>
      <w:lvlText w:val="%1."/>
      <w:lvlJc w:val="left"/>
      <w:pPr>
        <w:ind w:left="519" w:hanging="360"/>
      </w:pPr>
      <w:rPr>
        <w:rFonts w:ascii="Times New Roman" w:eastAsia="Times New Roman" w:hAnsi="Times New Roman" w:cs="Times New Roman"/>
      </w:rPr>
    </w:lvl>
    <w:lvl w:ilvl="1" w:tplc="04090019" w:tentative="1">
      <w:start w:val="1"/>
      <w:numFmt w:val="lowerLetter"/>
      <w:lvlText w:val="%2."/>
      <w:lvlJc w:val="left"/>
      <w:pPr>
        <w:ind w:left="1239" w:hanging="360"/>
      </w:pPr>
    </w:lvl>
    <w:lvl w:ilvl="2" w:tplc="0409001B" w:tentative="1">
      <w:start w:val="1"/>
      <w:numFmt w:val="lowerRoman"/>
      <w:lvlText w:val="%3."/>
      <w:lvlJc w:val="right"/>
      <w:pPr>
        <w:ind w:left="1959" w:hanging="180"/>
      </w:pPr>
    </w:lvl>
    <w:lvl w:ilvl="3" w:tplc="0409000F" w:tentative="1">
      <w:start w:val="1"/>
      <w:numFmt w:val="decimal"/>
      <w:lvlText w:val="%4."/>
      <w:lvlJc w:val="left"/>
      <w:pPr>
        <w:ind w:left="2679" w:hanging="360"/>
      </w:pPr>
    </w:lvl>
    <w:lvl w:ilvl="4" w:tplc="04090019" w:tentative="1">
      <w:start w:val="1"/>
      <w:numFmt w:val="lowerLetter"/>
      <w:lvlText w:val="%5."/>
      <w:lvlJc w:val="left"/>
      <w:pPr>
        <w:ind w:left="3399" w:hanging="360"/>
      </w:pPr>
    </w:lvl>
    <w:lvl w:ilvl="5" w:tplc="0409001B" w:tentative="1">
      <w:start w:val="1"/>
      <w:numFmt w:val="lowerRoman"/>
      <w:lvlText w:val="%6."/>
      <w:lvlJc w:val="right"/>
      <w:pPr>
        <w:ind w:left="4119" w:hanging="180"/>
      </w:pPr>
    </w:lvl>
    <w:lvl w:ilvl="6" w:tplc="0409000F" w:tentative="1">
      <w:start w:val="1"/>
      <w:numFmt w:val="decimal"/>
      <w:lvlText w:val="%7."/>
      <w:lvlJc w:val="left"/>
      <w:pPr>
        <w:ind w:left="4839" w:hanging="360"/>
      </w:pPr>
    </w:lvl>
    <w:lvl w:ilvl="7" w:tplc="04090019" w:tentative="1">
      <w:start w:val="1"/>
      <w:numFmt w:val="lowerLetter"/>
      <w:lvlText w:val="%8."/>
      <w:lvlJc w:val="left"/>
      <w:pPr>
        <w:ind w:left="5559" w:hanging="360"/>
      </w:pPr>
    </w:lvl>
    <w:lvl w:ilvl="8" w:tplc="0409001B" w:tentative="1">
      <w:start w:val="1"/>
      <w:numFmt w:val="lowerRoman"/>
      <w:lvlText w:val="%9."/>
      <w:lvlJc w:val="right"/>
      <w:pPr>
        <w:ind w:left="6279" w:hanging="180"/>
      </w:pPr>
    </w:lvl>
  </w:abstractNum>
  <w:abstractNum w:abstractNumId="21" w15:restartNumberingAfterBreak="0">
    <w:nsid w:val="4AE74428"/>
    <w:multiLevelType w:val="hybridMultilevel"/>
    <w:tmpl w:val="029A2ABC"/>
    <w:lvl w:ilvl="0" w:tplc="5F50D52E">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22" w15:restartNumberingAfterBreak="0">
    <w:nsid w:val="4E212091"/>
    <w:multiLevelType w:val="hybridMultilevel"/>
    <w:tmpl w:val="1136B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332618"/>
    <w:multiLevelType w:val="hybridMultilevel"/>
    <w:tmpl w:val="632C16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A2F79E4"/>
    <w:multiLevelType w:val="hybridMultilevel"/>
    <w:tmpl w:val="0DC45FAE"/>
    <w:lvl w:ilvl="0" w:tplc="5DE0DD2A">
      <w:start w:val="3"/>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BA3E8A"/>
    <w:multiLevelType w:val="hybridMultilevel"/>
    <w:tmpl w:val="2012DE24"/>
    <w:lvl w:ilvl="0" w:tplc="1BF265F6">
      <w:start w:val="1"/>
      <w:numFmt w:val="decimal"/>
      <w:lvlText w:val="%1."/>
      <w:lvlJc w:val="left"/>
      <w:pPr>
        <w:ind w:left="1081" w:hanging="360"/>
      </w:pPr>
      <w:rPr>
        <w:rFonts w:hint="default"/>
        <w:b/>
      </w:rPr>
    </w:lvl>
    <w:lvl w:ilvl="1" w:tplc="04090019" w:tentative="1">
      <w:start w:val="1"/>
      <w:numFmt w:val="lowerLetter"/>
      <w:lvlText w:val="%2."/>
      <w:lvlJc w:val="left"/>
      <w:pPr>
        <w:ind w:left="1801" w:hanging="360"/>
      </w:pPr>
    </w:lvl>
    <w:lvl w:ilvl="2" w:tplc="0409001B" w:tentative="1">
      <w:start w:val="1"/>
      <w:numFmt w:val="lowerRoman"/>
      <w:lvlText w:val="%3."/>
      <w:lvlJc w:val="right"/>
      <w:pPr>
        <w:ind w:left="2521" w:hanging="180"/>
      </w:pPr>
    </w:lvl>
    <w:lvl w:ilvl="3" w:tplc="0409000F" w:tentative="1">
      <w:start w:val="1"/>
      <w:numFmt w:val="decimal"/>
      <w:lvlText w:val="%4."/>
      <w:lvlJc w:val="left"/>
      <w:pPr>
        <w:ind w:left="3241" w:hanging="360"/>
      </w:pPr>
    </w:lvl>
    <w:lvl w:ilvl="4" w:tplc="04090019" w:tentative="1">
      <w:start w:val="1"/>
      <w:numFmt w:val="lowerLetter"/>
      <w:lvlText w:val="%5."/>
      <w:lvlJc w:val="left"/>
      <w:pPr>
        <w:ind w:left="3961" w:hanging="360"/>
      </w:pPr>
    </w:lvl>
    <w:lvl w:ilvl="5" w:tplc="0409001B" w:tentative="1">
      <w:start w:val="1"/>
      <w:numFmt w:val="lowerRoman"/>
      <w:lvlText w:val="%6."/>
      <w:lvlJc w:val="right"/>
      <w:pPr>
        <w:ind w:left="4681" w:hanging="180"/>
      </w:pPr>
    </w:lvl>
    <w:lvl w:ilvl="6" w:tplc="0409000F" w:tentative="1">
      <w:start w:val="1"/>
      <w:numFmt w:val="decimal"/>
      <w:lvlText w:val="%7."/>
      <w:lvlJc w:val="left"/>
      <w:pPr>
        <w:ind w:left="5401" w:hanging="360"/>
      </w:pPr>
    </w:lvl>
    <w:lvl w:ilvl="7" w:tplc="04090019" w:tentative="1">
      <w:start w:val="1"/>
      <w:numFmt w:val="lowerLetter"/>
      <w:lvlText w:val="%8."/>
      <w:lvlJc w:val="left"/>
      <w:pPr>
        <w:ind w:left="6121" w:hanging="360"/>
      </w:pPr>
    </w:lvl>
    <w:lvl w:ilvl="8" w:tplc="0409001B" w:tentative="1">
      <w:start w:val="1"/>
      <w:numFmt w:val="lowerRoman"/>
      <w:lvlText w:val="%9."/>
      <w:lvlJc w:val="right"/>
      <w:pPr>
        <w:ind w:left="6841" w:hanging="180"/>
      </w:pPr>
    </w:lvl>
  </w:abstractNum>
  <w:abstractNum w:abstractNumId="26" w15:restartNumberingAfterBreak="0">
    <w:nsid w:val="65DF6CF2"/>
    <w:multiLevelType w:val="hybridMultilevel"/>
    <w:tmpl w:val="000885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65C329B"/>
    <w:multiLevelType w:val="hybridMultilevel"/>
    <w:tmpl w:val="2B2CC0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376AFD"/>
    <w:multiLevelType w:val="hybridMultilevel"/>
    <w:tmpl w:val="011A80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8A26E5"/>
    <w:multiLevelType w:val="hybridMultilevel"/>
    <w:tmpl w:val="49C22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BB24EF2"/>
    <w:multiLevelType w:val="hybridMultilevel"/>
    <w:tmpl w:val="49CA2FAC"/>
    <w:lvl w:ilvl="0" w:tplc="48DC8130">
      <w:start w:val="1"/>
      <w:numFmt w:val="decimal"/>
      <w:lvlText w:val="%1."/>
      <w:lvlJc w:val="left"/>
      <w:pPr>
        <w:ind w:left="720" w:hanging="360"/>
      </w:pPr>
      <w:rPr>
        <w:rFonts w:hint="default"/>
        <w:b/>
        <w:bCs w:val="0"/>
        <w:i w:val="0"/>
        <w:iCs/>
        <w:sz w:val="24"/>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BC660C4"/>
    <w:multiLevelType w:val="hybridMultilevel"/>
    <w:tmpl w:val="2EB2AAD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C2A570D"/>
    <w:multiLevelType w:val="hybridMultilevel"/>
    <w:tmpl w:val="B26A32D2"/>
    <w:lvl w:ilvl="0" w:tplc="2382741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C891A52"/>
    <w:multiLevelType w:val="hybridMultilevel"/>
    <w:tmpl w:val="D01A1B74"/>
    <w:lvl w:ilvl="0" w:tplc="395AB84C">
      <w:start w:val="1"/>
      <w:numFmt w:val="decimal"/>
      <w:lvlText w:val="%1."/>
      <w:lvlJc w:val="left"/>
      <w:pPr>
        <w:ind w:left="720" w:hanging="360"/>
      </w:pPr>
      <w:rPr>
        <w:rFonts w:eastAsia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31338E"/>
    <w:multiLevelType w:val="hybridMultilevel"/>
    <w:tmpl w:val="39C8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1F8785A"/>
    <w:multiLevelType w:val="hybridMultilevel"/>
    <w:tmpl w:val="B4C68D28"/>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47F07F6"/>
    <w:multiLevelType w:val="hybridMultilevel"/>
    <w:tmpl w:val="6F4E944C"/>
    <w:lvl w:ilvl="0" w:tplc="0409000F">
      <w:start w:val="3"/>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4A70112"/>
    <w:multiLevelType w:val="hybridMultilevel"/>
    <w:tmpl w:val="5F98B8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7BC1983"/>
    <w:multiLevelType w:val="hybridMultilevel"/>
    <w:tmpl w:val="CAC8F060"/>
    <w:lvl w:ilvl="0" w:tplc="4E743D24">
      <w:start w:val="1"/>
      <w:numFmt w:val="decimal"/>
      <w:lvlText w:val="%1."/>
      <w:lvlJc w:val="left"/>
      <w:pPr>
        <w:ind w:left="720" w:hanging="360"/>
      </w:pPr>
    </w:lvl>
    <w:lvl w:ilvl="1" w:tplc="20E076E2">
      <w:start w:val="1"/>
      <w:numFmt w:val="lowerLetter"/>
      <w:lvlText w:val="%2."/>
      <w:lvlJc w:val="left"/>
      <w:pPr>
        <w:ind w:left="1440" w:hanging="360"/>
      </w:pPr>
    </w:lvl>
    <w:lvl w:ilvl="2" w:tplc="61F68518">
      <w:start w:val="1"/>
      <w:numFmt w:val="lowerRoman"/>
      <w:lvlText w:val="%3."/>
      <w:lvlJc w:val="right"/>
      <w:pPr>
        <w:ind w:left="2160" w:hanging="180"/>
      </w:pPr>
    </w:lvl>
    <w:lvl w:ilvl="3" w:tplc="68027F56">
      <w:start w:val="1"/>
      <w:numFmt w:val="decimal"/>
      <w:lvlText w:val="%4."/>
      <w:lvlJc w:val="left"/>
      <w:pPr>
        <w:ind w:left="2880" w:hanging="360"/>
      </w:pPr>
    </w:lvl>
    <w:lvl w:ilvl="4" w:tplc="7E4E1CC8">
      <w:start w:val="1"/>
      <w:numFmt w:val="lowerLetter"/>
      <w:lvlText w:val="%5."/>
      <w:lvlJc w:val="left"/>
      <w:pPr>
        <w:ind w:left="3600" w:hanging="360"/>
      </w:pPr>
    </w:lvl>
    <w:lvl w:ilvl="5" w:tplc="9E6E53BC">
      <w:start w:val="1"/>
      <w:numFmt w:val="lowerRoman"/>
      <w:lvlText w:val="%6."/>
      <w:lvlJc w:val="right"/>
      <w:pPr>
        <w:ind w:left="4320" w:hanging="180"/>
      </w:pPr>
    </w:lvl>
    <w:lvl w:ilvl="6" w:tplc="C89CA1A0">
      <w:start w:val="1"/>
      <w:numFmt w:val="decimal"/>
      <w:lvlText w:val="%7."/>
      <w:lvlJc w:val="left"/>
      <w:pPr>
        <w:ind w:left="5040" w:hanging="360"/>
      </w:pPr>
    </w:lvl>
    <w:lvl w:ilvl="7" w:tplc="0C0C81D4">
      <w:start w:val="1"/>
      <w:numFmt w:val="lowerLetter"/>
      <w:lvlText w:val="%8."/>
      <w:lvlJc w:val="left"/>
      <w:pPr>
        <w:ind w:left="5760" w:hanging="360"/>
      </w:pPr>
    </w:lvl>
    <w:lvl w:ilvl="8" w:tplc="27AC73B8">
      <w:start w:val="1"/>
      <w:numFmt w:val="lowerRoman"/>
      <w:lvlText w:val="%9."/>
      <w:lvlJc w:val="right"/>
      <w:pPr>
        <w:ind w:left="6480" w:hanging="180"/>
      </w:pPr>
    </w:lvl>
  </w:abstractNum>
  <w:abstractNum w:abstractNumId="39" w15:restartNumberingAfterBreak="0">
    <w:nsid w:val="7A514F51"/>
    <w:multiLevelType w:val="hybridMultilevel"/>
    <w:tmpl w:val="1544580A"/>
    <w:lvl w:ilvl="0" w:tplc="F2E02FD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B344ADF"/>
    <w:multiLevelType w:val="hybridMultilevel"/>
    <w:tmpl w:val="44664A52"/>
    <w:lvl w:ilvl="0" w:tplc="8C68E17E">
      <w:start w:val="2"/>
      <w:numFmt w:val="decimal"/>
      <w:lvlText w:val="%1."/>
      <w:lvlJc w:val="left"/>
      <w:pPr>
        <w:ind w:left="420" w:hanging="360"/>
      </w:pPr>
      <w:rPr>
        <w:rFonts w:hint="default"/>
      </w:rPr>
    </w:lvl>
    <w:lvl w:ilvl="1" w:tplc="04090019">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num w:numId="1" w16cid:durableId="1543320491">
    <w:abstractNumId w:val="38"/>
  </w:num>
  <w:num w:numId="2" w16cid:durableId="1836147236">
    <w:abstractNumId w:val="8"/>
  </w:num>
  <w:num w:numId="3" w16cid:durableId="62149014">
    <w:abstractNumId w:val="12"/>
  </w:num>
  <w:num w:numId="4" w16cid:durableId="1152871792">
    <w:abstractNumId w:val="27"/>
  </w:num>
  <w:num w:numId="5" w16cid:durableId="1984696392">
    <w:abstractNumId w:val="24"/>
  </w:num>
  <w:num w:numId="6" w16cid:durableId="1566911952">
    <w:abstractNumId w:val="31"/>
  </w:num>
  <w:num w:numId="7" w16cid:durableId="83889853">
    <w:abstractNumId w:val="0"/>
    <w:lvlOverride w:ilvl="0">
      <w:startOverride w:val="2"/>
    </w:lvlOverride>
    <w:lvlOverride w:ilvl="1"/>
    <w:lvlOverride w:ilvl="2"/>
    <w:lvlOverride w:ilvl="3"/>
    <w:lvlOverride w:ilvl="4"/>
    <w:lvlOverride w:ilvl="5"/>
    <w:lvlOverride w:ilvl="6"/>
    <w:lvlOverride w:ilvl="7"/>
    <w:lvlOverride w:ilvl="8"/>
  </w:num>
  <w:num w:numId="8" w16cid:durableId="976565971">
    <w:abstractNumId w:val="1"/>
  </w:num>
  <w:num w:numId="9" w16cid:durableId="284431022">
    <w:abstractNumId w:val="13"/>
  </w:num>
  <w:num w:numId="10" w16cid:durableId="178855329">
    <w:abstractNumId w:val="2"/>
    <w:lvlOverride w:ilvl="0">
      <w:startOverride w:val="2"/>
    </w:lvlOverride>
    <w:lvlOverride w:ilvl="1"/>
    <w:lvlOverride w:ilvl="2"/>
    <w:lvlOverride w:ilvl="3"/>
    <w:lvlOverride w:ilvl="4"/>
    <w:lvlOverride w:ilvl="5"/>
    <w:lvlOverride w:ilvl="6"/>
    <w:lvlOverride w:ilvl="7"/>
    <w:lvlOverride w:ilvl="8"/>
  </w:num>
  <w:num w:numId="11" w16cid:durableId="1732920379">
    <w:abstractNumId w:val="3"/>
  </w:num>
  <w:num w:numId="12" w16cid:durableId="910820255">
    <w:abstractNumId w:val="4"/>
  </w:num>
  <w:num w:numId="13" w16cid:durableId="1963881605">
    <w:abstractNumId w:val="5"/>
  </w:num>
  <w:num w:numId="14" w16cid:durableId="1908803780">
    <w:abstractNumId w:val="6"/>
  </w:num>
  <w:num w:numId="15" w16cid:durableId="1756171392">
    <w:abstractNumId w:val="23"/>
  </w:num>
  <w:num w:numId="16" w16cid:durableId="659233271">
    <w:abstractNumId w:val="7"/>
  </w:num>
  <w:num w:numId="17" w16cid:durableId="338236508">
    <w:abstractNumId w:val="17"/>
  </w:num>
  <w:num w:numId="18" w16cid:durableId="964233396">
    <w:abstractNumId w:val="32"/>
  </w:num>
  <w:num w:numId="19" w16cid:durableId="1584727930">
    <w:abstractNumId w:val="39"/>
  </w:num>
  <w:num w:numId="20" w16cid:durableId="1233345828">
    <w:abstractNumId w:val="28"/>
  </w:num>
  <w:num w:numId="21" w16cid:durableId="661159331">
    <w:abstractNumId w:val="37"/>
  </w:num>
  <w:num w:numId="22" w16cid:durableId="1256936076">
    <w:abstractNumId w:val="14"/>
  </w:num>
  <w:num w:numId="23" w16cid:durableId="93015682">
    <w:abstractNumId w:val="36"/>
  </w:num>
  <w:num w:numId="24" w16cid:durableId="839664887">
    <w:abstractNumId w:val="20"/>
  </w:num>
  <w:num w:numId="25" w16cid:durableId="1536234749">
    <w:abstractNumId w:val="11"/>
  </w:num>
  <w:num w:numId="26" w16cid:durableId="908616721">
    <w:abstractNumId w:val="34"/>
  </w:num>
  <w:num w:numId="27" w16cid:durableId="1255892411">
    <w:abstractNumId w:val="40"/>
  </w:num>
  <w:num w:numId="28" w16cid:durableId="1623270719">
    <w:abstractNumId w:val="15"/>
    <w:lvlOverride w:ilvl="0"/>
    <w:lvlOverride w:ilvl="1"/>
    <w:lvlOverride w:ilvl="2"/>
    <w:lvlOverride w:ilvl="3"/>
    <w:lvlOverride w:ilvl="4"/>
    <w:lvlOverride w:ilvl="5"/>
    <w:lvlOverride w:ilvl="6"/>
    <w:lvlOverride w:ilvl="7"/>
    <w:lvlOverride w:ilvl="8">
      <w:startOverride w:val="1"/>
    </w:lvlOverride>
  </w:num>
  <w:num w:numId="29" w16cid:durableId="2008752547">
    <w:abstractNumId w:val="29"/>
  </w:num>
  <w:num w:numId="30" w16cid:durableId="1478186490">
    <w:abstractNumId w:val="18"/>
  </w:num>
  <w:num w:numId="31" w16cid:durableId="377902817">
    <w:abstractNumId w:val="22"/>
  </w:num>
  <w:num w:numId="32" w16cid:durableId="254678491">
    <w:abstractNumId w:val="35"/>
  </w:num>
  <w:num w:numId="33" w16cid:durableId="1021203703">
    <w:abstractNumId w:val="10"/>
  </w:num>
  <w:num w:numId="34" w16cid:durableId="1868374772">
    <w:abstractNumId w:val="9"/>
  </w:num>
  <w:num w:numId="35" w16cid:durableId="1309626741">
    <w:abstractNumId w:val="26"/>
  </w:num>
  <w:num w:numId="36" w16cid:durableId="1293831176">
    <w:abstractNumId w:val="33"/>
  </w:num>
  <w:num w:numId="37" w16cid:durableId="1133256675">
    <w:abstractNumId w:val="30"/>
  </w:num>
  <w:num w:numId="38" w16cid:durableId="407583928">
    <w:abstractNumId w:val="16"/>
  </w:num>
  <w:num w:numId="39" w16cid:durableId="958803550">
    <w:abstractNumId w:val="19"/>
  </w:num>
  <w:num w:numId="40" w16cid:durableId="1445030228">
    <w:abstractNumId w:val="25"/>
  </w:num>
  <w:num w:numId="41" w16cid:durableId="1254313916">
    <w:abstractNumId w:val="21"/>
  </w:num>
  <w:numIdMacAtCleanup w:val="3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rah Katrin Hyde">
    <w15:presenceInfo w15:providerId="AD" w15:userId="S::hydes@unm.edu::65eacdca-fc85-4a18-b8f5-fdb6e30809a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89C"/>
    <w:rsid w:val="000006FD"/>
    <w:rsid w:val="0000282F"/>
    <w:rsid w:val="00002A0E"/>
    <w:rsid w:val="0000615E"/>
    <w:rsid w:val="00007AFD"/>
    <w:rsid w:val="00007D2A"/>
    <w:rsid w:val="00010329"/>
    <w:rsid w:val="00012AF2"/>
    <w:rsid w:val="00014987"/>
    <w:rsid w:val="00021329"/>
    <w:rsid w:val="000221AE"/>
    <w:rsid w:val="00022E29"/>
    <w:rsid w:val="00022E43"/>
    <w:rsid w:val="00023CE7"/>
    <w:rsid w:val="000241C7"/>
    <w:rsid w:val="00027B4A"/>
    <w:rsid w:val="000332AB"/>
    <w:rsid w:val="0003402E"/>
    <w:rsid w:val="000342B8"/>
    <w:rsid w:val="0003731A"/>
    <w:rsid w:val="0003779E"/>
    <w:rsid w:val="00040436"/>
    <w:rsid w:val="00040F04"/>
    <w:rsid w:val="000412FB"/>
    <w:rsid w:val="00043CBC"/>
    <w:rsid w:val="00044D9A"/>
    <w:rsid w:val="00053AF8"/>
    <w:rsid w:val="00055CB7"/>
    <w:rsid w:val="00056083"/>
    <w:rsid w:val="00057200"/>
    <w:rsid w:val="00057927"/>
    <w:rsid w:val="00057957"/>
    <w:rsid w:val="00060EFB"/>
    <w:rsid w:val="00061962"/>
    <w:rsid w:val="00065C62"/>
    <w:rsid w:val="00066F90"/>
    <w:rsid w:val="0006742C"/>
    <w:rsid w:val="00067A8D"/>
    <w:rsid w:val="000726E8"/>
    <w:rsid w:val="000729EF"/>
    <w:rsid w:val="00074D37"/>
    <w:rsid w:val="0007505E"/>
    <w:rsid w:val="00076635"/>
    <w:rsid w:val="00081AF5"/>
    <w:rsid w:val="00082D1F"/>
    <w:rsid w:val="00083401"/>
    <w:rsid w:val="00087255"/>
    <w:rsid w:val="00091684"/>
    <w:rsid w:val="00091B1D"/>
    <w:rsid w:val="00095082"/>
    <w:rsid w:val="000A0627"/>
    <w:rsid w:val="000A06F4"/>
    <w:rsid w:val="000A19C9"/>
    <w:rsid w:val="000A299B"/>
    <w:rsid w:val="000A436E"/>
    <w:rsid w:val="000B150A"/>
    <w:rsid w:val="000B1C12"/>
    <w:rsid w:val="000B2BD8"/>
    <w:rsid w:val="000B2EC5"/>
    <w:rsid w:val="000B2EDD"/>
    <w:rsid w:val="000B332C"/>
    <w:rsid w:val="000C0E44"/>
    <w:rsid w:val="000C1BE1"/>
    <w:rsid w:val="000C37BD"/>
    <w:rsid w:val="000C5209"/>
    <w:rsid w:val="000C706E"/>
    <w:rsid w:val="000C77EF"/>
    <w:rsid w:val="000D1A2F"/>
    <w:rsid w:val="000D3BEA"/>
    <w:rsid w:val="000D4C84"/>
    <w:rsid w:val="000D67BB"/>
    <w:rsid w:val="000D7685"/>
    <w:rsid w:val="000E1039"/>
    <w:rsid w:val="000E12BF"/>
    <w:rsid w:val="000E1FE5"/>
    <w:rsid w:val="000E4593"/>
    <w:rsid w:val="000E5774"/>
    <w:rsid w:val="000F2FF0"/>
    <w:rsid w:val="000F4B43"/>
    <w:rsid w:val="000F64A9"/>
    <w:rsid w:val="000F68A0"/>
    <w:rsid w:val="000F7833"/>
    <w:rsid w:val="001023FD"/>
    <w:rsid w:val="00103A03"/>
    <w:rsid w:val="00103CDE"/>
    <w:rsid w:val="00110167"/>
    <w:rsid w:val="001109CD"/>
    <w:rsid w:val="001131BB"/>
    <w:rsid w:val="00113CC4"/>
    <w:rsid w:val="0011489B"/>
    <w:rsid w:val="00116AEF"/>
    <w:rsid w:val="00121005"/>
    <w:rsid w:val="001237AB"/>
    <w:rsid w:val="00126606"/>
    <w:rsid w:val="00127371"/>
    <w:rsid w:val="00132036"/>
    <w:rsid w:val="0013269E"/>
    <w:rsid w:val="00133159"/>
    <w:rsid w:val="0014120D"/>
    <w:rsid w:val="00144213"/>
    <w:rsid w:val="001445E3"/>
    <w:rsid w:val="0014786E"/>
    <w:rsid w:val="00150551"/>
    <w:rsid w:val="00153055"/>
    <w:rsid w:val="0015473F"/>
    <w:rsid w:val="00155B4F"/>
    <w:rsid w:val="001573DB"/>
    <w:rsid w:val="001600AA"/>
    <w:rsid w:val="001627CE"/>
    <w:rsid w:val="00163769"/>
    <w:rsid w:val="00163FEC"/>
    <w:rsid w:val="00164B28"/>
    <w:rsid w:val="00164F34"/>
    <w:rsid w:val="001652AC"/>
    <w:rsid w:val="0016787D"/>
    <w:rsid w:val="001701FA"/>
    <w:rsid w:val="0017321A"/>
    <w:rsid w:val="001759D0"/>
    <w:rsid w:val="00175FCC"/>
    <w:rsid w:val="00176A48"/>
    <w:rsid w:val="0017740A"/>
    <w:rsid w:val="001775AC"/>
    <w:rsid w:val="00177AF0"/>
    <w:rsid w:val="0018345A"/>
    <w:rsid w:val="00185BD6"/>
    <w:rsid w:val="001863B0"/>
    <w:rsid w:val="001871E9"/>
    <w:rsid w:val="001878C3"/>
    <w:rsid w:val="00191502"/>
    <w:rsid w:val="00196188"/>
    <w:rsid w:val="0019618A"/>
    <w:rsid w:val="00196217"/>
    <w:rsid w:val="00196F7E"/>
    <w:rsid w:val="00197AB0"/>
    <w:rsid w:val="001A0C3D"/>
    <w:rsid w:val="001A0E45"/>
    <w:rsid w:val="001A17BC"/>
    <w:rsid w:val="001A2283"/>
    <w:rsid w:val="001A2F1B"/>
    <w:rsid w:val="001A31DA"/>
    <w:rsid w:val="001A365A"/>
    <w:rsid w:val="001A43DC"/>
    <w:rsid w:val="001A758E"/>
    <w:rsid w:val="001B00A1"/>
    <w:rsid w:val="001B290E"/>
    <w:rsid w:val="001B3491"/>
    <w:rsid w:val="001B63F1"/>
    <w:rsid w:val="001C1EB1"/>
    <w:rsid w:val="001C5CD6"/>
    <w:rsid w:val="001C7127"/>
    <w:rsid w:val="001D093F"/>
    <w:rsid w:val="001D1DDA"/>
    <w:rsid w:val="001D314F"/>
    <w:rsid w:val="001D4DC3"/>
    <w:rsid w:val="001D5B99"/>
    <w:rsid w:val="001D689B"/>
    <w:rsid w:val="001D7DE0"/>
    <w:rsid w:val="001E0D7B"/>
    <w:rsid w:val="001E1BA2"/>
    <w:rsid w:val="001E20F2"/>
    <w:rsid w:val="001F1EA9"/>
    <w:rsid w:val="001F67D5"/>
    <w:rsid w:val="00202D81"/>
    <w:rsid w:val="00204CCE"/>
    <w:rsid w:val="002074C1"/>
    <w:rsid w:val="002079CB"/>
    <w:rsid w:val="00210D7D"/>
    <w:rsid w:val="00214402"/>
    <w:rsid w:val="00216C02"/>
    <w:rsid w:val="002206F0"/>
    <w:rsid w:val="00221BD9"/>
    <w:rsid w:val="0022470F"/>
    <w:rsid w:val="002343EE"/>
    <w:rsid w:val="00236321"/>
    <w:rsid w:val="00236FE9"/>
    <w:rsid w:val="002371D4"/>
    <w:rsid w:val="00237C25"/>
    <w:rsid w:val="00241C0E"/>
    <w:rsid w:val="00244513"/>
    <w:rsid w:val="00244B79"/>
    <w:rsid w:val="0024697B"/>
    <w:rsid w:val="00247BD8"/>
    <w:rsid w:val="002510FF"/>
    <w:rsid w:val="002554FE"/>
    <w:rsid w:val="002563F3"/>
    <w:rsid w:val="002564E2"/>
    <w:rsid w:val="002567DA"/>
    <w:rsid w:val="002604F6"/>
    <w:rsid w:val="00261A6C"/>
    <w:rsid w:val="002626C3"/>
    <w:rsid w:val="00263DCC"/>
    <w:rsid w:val="00263F01"/>
    <w:rsid w:val="00265BB2"/>
    <w:rsid w:val="00270F85"/>
    <w:rsid w:val="00271535"/>
    <w:rsid w:val="00274466"/>
    <w:rsid w:val="002745EC"/>
    <w:rsid w:val="00276A74"/>
    <w:rsid w:val="00280694"/>
    <w:rsid w:val="002824A6"/>
    <w:rsid w:val="00283080"/>
    <w:rsid w:val="00284065"/>
    <w:rsid w:val="00284801"/>
    <w:rsid w:val="002872B6"/>
    <w:rsid w:val="0028792A"/>
    <w:rsid w:val="00290FEF"/>
    <w:rsid w:val="00292F8D"/>
    <w:rsid w:val="0029458D"/>
    <w:rsid w:val="00295065"/>
    <w:rsid w:val="00295AFD"/>
    <w:rsid w:val="0029700C"/>
    <w:rsid w:val="002A0039"/>
    <w:rsid w:val="002A5D5E"/>
    <w:rsid w:val="002A6F4B"/>
    <w:rsid w:val="002A7D44"/>
    <w:rsid w:val="002B019A"/>
    <w:rsid w:val="002B3C05"/>
    <w:rsid w:val="002B57D5"/>
    <w:rsid w:val="002B7DD1"/>
    <w:rsid w:val="002B7EAD"/>
    <w:rsid w:val="002C0376"/>
    <w:rsid w:val="002C2B39"/>
    <w:rsid w:val="002C5871"/>
    <w:rsid w:val="002C5C2C"/>
    <w:rsid w:val="002D0816"/>
    <w:rsid w:val="002D3422"/>
    <w:rsid w:val="002D783C"/>
    <w:rsid w:val="002E0DA0"/>
    <w:rsid w:val="002E0EB5"/>
    <w:rsid w:val="002E10A6"/>
    <w:rsid w:val="002E2BCB"/>
    <w:rsid w:val="002E3F75"/>
    <w:rsid w:val="002E6542"/>
    <w:rsid w:val="002F089B"/>
    <w:rsid w:val="002F6DE6"/>
    <w:rsid w:val="0030503F"/>
    <w:rsid w:val="00307558"/>
    <w:rsid w:val="00311823"/>
    <w:rsid w:val="00312716"/>
    <w:rsid w:val="00313189"/>
    <w:rsid w:val="00314549"/>
    <w:rsid w:val="003165A2"/>
    <w:rsid w:val="0031753C"/>
    <w:rsid w:val="0032296F"/>
    <w:rsid w:val="00332FDC"/>
    <w:rsid w:val="00333E94"/>
    <w:rsid w:val="00337E80"/>
    <w:rsid w:val="0034013D"/>
    <w:rsid w:val="003430CE"/>
    <w:rsid w:val="003447CB"/>
    <w:rsid w:val="0034480D"/>
    <w:rsid w:val="00350362"/>
    <w:rsid w:val="003503C5"/>
    <w:rsid w:val="0035088D"/>
    <w:rsid w:val="003513DC"/>
    <w:rsid w:val="003523F9"/>
    <w:rsid w:val="00352AED"/>
    <w:rsid w:val="00353D5C"/>
    <w:rsid w:val="00354D97"/>
    <w:rsid w:val="00355E58"/>
    <w:rsid w:val="0035771A"/>
    <w:rsid w:val="00362809"/>
    <w:rsid w:val="003648B5"/>
    <w:rsid w:val="00367488"/>
    <w:rsid w:val="00367E2F"/>
    <w:rsid w:val="0037252C"/>
    <w:rsid w:val="00375C34"/>
    <w:rsid w:val="0038139D"/>
    <w:rsid w:val="0038321A"/>
    <w:rsid w:val="003835D6"/>
    <w:rsid w:val="00390B44"/>
    <w:rsid w:val="003911E6"/>
    <w:rsid w:val="0039155F"/>
    <w:rsid w:val="00392B9A"/>
    <w:rsid w:val="003939F1"/>
    <w:rsid w:val="00394308"/>
    <w:rsid w:val="00396230"/>
    <w:rsid w:val="00396306"/>
    <w:rsid w:val="00397197"/>
    <w:rsid w:val="003A0021"/>
    <w:rsid w:val="003A35ED"/>
    <w:rsid w:val="003A3B2C"/>
    <w:rsid w:val="003A5654"/>
    <w:rsid w:val="003A7527"/>
    <w:rsid w:val="003B3251"/>
    <w:rsid w:val="003B470B"/>
    <w:rsid w:val="003B5A1C"/>
    <w:rsid w:val="003B71C5"/>
    <w:rsid w:val="003C044F"/>
    <w:rsid w:val="003C0593"/>
    <w:rsid w:val="003C2387"/>
    <w:rsid w:val="003E284E"/>
    <w:rsid w:val="003E31D2"/>
    <w:rsid w:val="003E3845"/>
    <w:rsid w:val="003E4E96"/>
    <w:rsid w:val="003F0619"/>
    <w:rsid w:val="003F2F1D"/>
    <w:rsid w:val="003F58A8"/>
    <w:rsid w:val="003F6A54"/>
    <w:rsid w:val="003F6C83"/>
    <w:rsid w:val="00406728"/>
    <w:rsid w:val="00407DAD"/>
    <w:rsid w:val="00410F21"/>
    <w:rsid w:val="00410FD0"/>
    <w:rsid w:val="004110EA"/>
    <w:rsid w:val="0041295F"/>
    <w:rsid w:val="00412C02"/>
    <w:rsid w:val="00414527"/>
    <w:rsid w:val="00414776"/>
    <w:rsid w:val="00414A27"/>
    <w:rsid w:val="00422E27"/>
    <w:rsid w:val="00423DCB"/>
    <w:rsid w:val="00426C0D"/>
    <w:rsid w:val="00427B54"/>
    <w:rsid w:val="00430227"/>
    <w:rsid w:val="00431E91"/>
    <w:rsid w:val="00432C19"/>
    <w:rsid w:val="00433053"/>
    <w:rsid w:val="004332B4"/>
    <w:rsid w:val="00435B44"/>
    <w:rsid w:val="004406B0"/>
    <w:rsid w:val="00440C6B"/>
    <w:rsid w:val="0044164D"/>
    <w:rsid w:val="004424BF"/>
    <w:rsid w:val="004449AA"/>
    <w:rsid w:val="00457DA0"/>
    <w:rsid w:val="004601F5"/>
    <w:rsid w:val="004626CD"/>
    <w:rsid w:val="00463897"/>
    <w:rsid w:val="00465C99"/>
    <w:rsid w:val="00467A01"/>
    <w:rsid w:val="00467C49"/>
    <w:rsid w:val="00474BDB"/>
    <w:rsid w:val="00475D17"/>
    <w:rsid w:val="00476734"/>
    <w:rsid w:val="00476CFD"/>
    <w:rsid w:val="004773DD"/>
    <w:rsid w:val="00480833"/>
    <w:rsid w:val="00483BAE"/>
    <w:rsid w:val="00486186"/>
    <w:rsid w:val="0048666F"/>
    <w:rsid w:val="00486BB1"/>
    <w:rsid w:val="00487704"/>
    <w:rsid w:val="004906BC"/>
    <w:rsid w:val="00490C08"/>
    <w:rsid w:val="00492064"/>
    <w:rsid w:val="0049261D"/>
    <w:rsid w:val="00492F6C"/>
    <w:rsid w:val="00493245"/>
    <w:rsid w:val="004A3DD9"/>
    <w:rsid w:val="004A3E9D"/>
    <w:rsid w:val="004A455F"/>
    <w:rsid w:val="004A475B"/>
    <w:rsid w:val="004B209D"/>
    <w:rsid w:val="004B361B"/>
    <w:rsid w:val="004B5435"/>
    <w:rsid w:val="004B68C6"/>
    <w:rsid w:val="004B702C"/>
    <w:rsid w:val="004B77EC"/>
    <w:rsid w:val="004B7FEB"/>
    <w:rsid w:val="004C54A3"/>
    <w:rsid w:val="004C672B"/>
    <w:rsid w:val="004D254C"/>
    <w:rsid w:val="004D6CA4"/>
    <w:rsid w:val="004D6CB3"/>
    <w:rsid w:val="004D7F03"/>
    <w:rsid w:val="004E03BA"/>
    <w:rsid w:val="004E0587"/>
    <w:rsid w:val="004E2A06"/>
    <w:rsid w:val="004E317D"/>
    <w:rsid w:val="004E3A68"/>
    <w:rsid w:val="004E634D"/>
    <w:rsid w:val="004E674D"/>
    <w:rsid w:val="004F0BEC"/>
    <w:rsid w:val="004F3F76"/>
    <w:rsid w:val="004F4535"/>
    <w:rsid w:val="004F4E8C"/>
    <w:rsid w:val="0050038D"/>
    <w:rsid w:val="00500CB2"/>
    <w:rsid w:val="00503834"/>
    <w:rsid w:val="00506A2A"/>
    <w:rsid w:val="00510914"/>
    <w:rsid w:val="005119AA"/>
    <w:rsid w:val="00515224"/>
    <w:rsid w:val="0051615E"/>
    <w:rsid w:val="00517194"/>
    <w:rsid w:val="005217C2"/>
    <w:rsid w:val="00522259"/>
    <w:rsid w:val="00523953"/>
    <w:rsid w:val="00525E29"/>
    <w:rsid w:val="00526688"/>
    <w:rsid w:val="00527837"/>
    <w:rsid w:val="00531604"/>
    <w:rsid w:val="0053170F"/>
    <w:rsid w:val="00537165"/>
    <w:rsid w:val="00541049"/>
    <w:rsid w:val="00541AD2"/>
    <w:rsid w:val="005446B7"/>
    <w:rsid w:val="005479C3"/>
    <w:rsid w:val="00552316"/>
    <w:rsid w:val="00552C68"/>
    <w:rsid w:val="00553C46"/>
    <w:rsid w:val="00556C05"/>
    <w:rsid w:val="00560244"/>
    <w:rsid w:val="00563D12"/>
    <w:rsid w:val="00563EAA"/>
    <w:rsid w:val="005662CC"/>
    <w:rsid w:val="00571CD7"/>
    <w:rsid w:val="00572EE6"/>
    <w:rsid w:val="005749B5"/>
    <w:rsid w:val="00575CDC"/>
    <w:rsid w:val="00576FEF"/>
    <w:rsid w:val="0058023F"/>
    <w:rsid w:val="005829DB"/>
    <w:rsid w:val="005863FD"/>
    <w:rsid w:val="005872DC"/>
    <w:rsid w:val="005921EA"/>
    <w:rsid w:val="00592DBD"/>
    <w:rsid w:val="0059587F"/>
    <w:rsid w:val="005964D8"/>
    <w:rsid w:val="0059688E"/>
    <w:rsid w:val="005A1E68"/>
    <w:rsid w:val="005A29EE"/>
    <w:rsid w:val="005A3F5F"/>
    <w:rsid w:val="005A547D"/>
    <w:rsid w:val="005A71A3"/>
    <w:rsid w:val="005B2D4C"/>
    <w:rsid w:val="005B4857"/>
    <w:rsid w:val="005B6FA8"/>
    <w:rsid w:val="005B7446"/>
    <w:rsid w:val="005C1188"/>
    <w:rsid w:val="005C150B"/>
    <w:rsid w:val="005C6946"/>
    <w:rsid w:val="005C6EDF"/>
    <w:rsid w:val="005C79B2"/>
    <w:rsid w:val="005C7B16"/>
    <w:rsid w:val="005C7E83"/>
    <w:rsid w:val="005D05BA"/>
    <w:rsid w:val="005D09F5"/>
    <w:rsid w:val="005D0E3F"/>
    <w:rsid w:val="005D30AB"/>
    <w:rsid w:val="005D51AB"/>
    <w:rsid w:val="005D6255"/>
    <w:rsid w:val="005E50A2"/>
    <w:rsid w:val="005E6AB7"/>
    <w:rsid w:val="005F0CF5"/>
    <w:rsid w:val="005F354B"/>
    <w:rsid w:val="005F3608"/>
    <w:rsid w:val="005F47E8"/>
    <w:rsid w:val="005F6E9D"/>
    <w:rsid w:val="006002A0"/>
    <w:rsid w:val="0060037E"/>
    <w:rsid w:val="006008FD"/>
    <w:rsid w:val="0060303C"/>
    <w:rsid w:val="0060429C"/>
    <w:rsid w:val="00605C3A"/>
    <w:rsid w:val="00606B9F"/>
    <w:rsid w:val="006071FA"/>
    <w:rsid w:val="00610A48"/>
    <w:rsid w:val="00611838"/>
    <w:rsid w:val="006130AC"/>
    <w:rsid w:val="006201C2"/>
    <w:rsid w:val="00620591"/>
    <w:rsid w:val="006211CE"/>
    <w:rsid w:val="0062211B"/>
    <w:rsid w:val="00622720"/>
    <w:rsid w:val="0063006F"/>
    <w:rsid w:val="0063139C"/>
    <w:rsid w:val="006324EB"/>
    <w:rsid w:val="00632F28"/>
    <w:rsid w:val="00633017"/>
    <w:rsid w:val="00634C4E"/>
    <w:rsid w:val="00642D97"/>
    <w:rsid w:val="00643136"/>
    <w:rsid w:val="00643AF1"/>
    <w:rsid w:val="006441C9"/>
    <w:rsid w:val="00645146"/>
    <w:rsid w:val="006462D7"/>
    <w:rsid w:val="00647037"/>
    <w:rsid w:val="00647906"/>
    <w:rsid w:val="00651FA8"/>
    <w:rsid w:val="00654EF0"/>
    <w:rsid w:val="006554C0"/>
    <w:rsid w:val="00657E71"/>
    <w:rsid w:val="00660B22"/>
    <w:rsid w:val="006613E8"/>
    <w:rsid w:val="00661866"/>
    <w:rsid w:val="00667ADF"/>
    <w:rsid w:val="00670339"/>
    <w:rsid w:val="006729FB"/>
    <w:rsid w:val="00680064"/>
    <w:rsid w:val="00683B9A"/>
    <w:rsid w:val="00684AD8"/>
    <w:rsid w:val="006854B3"/>
    <w:rsid w:val="00685B58"/>
    <w:rsid w:val="00685C73"/>
    <w:rsid w:val="00686E13"/>
    <w:rsid w:val="00687FFD"/>
    <w:rsid w:val="0069088C"/>
    <w:rsid w:val="00690C60"/>
    <w:rsid w:val="00691381"/>
    <w:rsid w:val="00691C07"/>
    <w:rsid w:val="00693CDE"/>
    <w:rsid w:val="00697B3E"/>
    <w:rsid w:val="006A0AA5"/>
    <w:rsid w:val="006A3390"/>
    <w:rsid w:val="006A6ADA"/>
    <w:rsid w:val="006B0419"/>
    <w:rsid w:val="006B0C5E"/>
    <w:rsid w:val="006B172A"/>
    <w:rsid w:val="006B1D88"/>
    <w:rsid w:val="006B3888"/>
    <w:rsid w:val="006B3A71"/>
    <w:rsid w:val="006B521A"/>
    <w:rsid w:val="006B6094"/>
    <w:rsid w:val="006B7BF4"/>
    <w:rsid w:val="006C09DF"/>
    <w:rsid w:val="006C244E"/>
    <w:rsid w:val="006C362F"/>
    <w:rsid w:val="006C3DCC"/>
    <w:rsid w:val="006C61F0"/>
    <w:rsid w:val="006C6AC6"/>
    <w:rsid w:val="006D6D6A"/>
    <w:rsid w:val="006D7C35"/>
    <w:rsid w:val="006E036B"/>
    <w:rsid w:val="006E0A63"/>
    <w:rsid w:val="006E1C3C"/>
    <w:rsid w:val="006E23CF"/>
    <w:rsid w:val="006E28F5"/>
    <w:rsid w:val="006E31D2"/>
    <w:rsid w:val="006E3650"/>
    <w:rsid w:val="006E5086"/>
    <w:rsid w:val="006F0C10"/>
    <w:rsid w:val="006F150A"/>
    <w:rsid w:val="006F2F8C"/>
    <w:rsid w:val="006F35C2"/>
    <w:rsid w:val="006F40E9"/>
    <w:rsid w:val="006F4AA3"/>
    <w:rsid w:val="006F54D6"/>
    <w:rsid w:val="006F7086"/>
    <w:rsid w:val="007039A3"/>
    <w:rsid w:val="0070589C"/>
    <w:rsid w:val="007059CF"/>
    <w:rsid w:val="00705DE1"/>
    <w:rsid w:val="007062B8"/>
    <w:rsid w:val="00706CCC"/>
    <w:rsid w:val="007078B7"/>
    <w:rsid w:val="007101C3"/>
    <w:rsid w:val="00710D43"/>
    <w:rsid w:val="00712529"/>
    <w:rsid w:val="0071337F"/>
    <w:rsid w:val="00713908"/>
    <w:rsid w:val="00716D92"/>
    <w:rsid w:val="00717593"/>
    <w:rsid w:val="00717DFD"/>
    <w:rsid w:val="00721640"/>
    <w:rsid w:val="00723189"/>
    <w:rsid w:val="00723373"/>
    <w:rsid w:val="00725886"/>
    <w:rsid w:val="0072638D"/>
    <w:rsid w:val="007270E3"/>
    <w:rsid w:val="00730A0A"/>
    <w:rsid w:val="00734B64"/>
    <w:rsid w:val="00735E54"/>
    <w:rsid w:val="007366BE"/>
    <w:rsid w:val="00737EF2"/>
    <w:rsid w:val="00740248"/>
    <w:rsid w:val="0074078C"/>
    <w:rsid w:val="007422EA"/>
    <w:rsid w:val="0074367D"/>
    <w:rsid w:val="00744609"/>
    <w:rsid w:val="0074789A"/>
    <w:rsid w:val="00750260"/>
    <w:rsid w:val="00751A77"/>
    <w:rsid w:val="00751C21"/>
    <w:rsid w:val="00755606"/>
    <w:rsid w:val="00755898"/>
    <w:rsid w:val="00761F20"/>
    <w:rsid w:val="007643E6"/>
    <w:rsid w:val="007644A3"/>
    <w:rsid w:val="00764EB1"/>
    <w:rsid w:val="00772790"/>
    <w:rsid w:val="0077494F"/>
    <w:rsid w:val="00775625"/>
    <w:rsid w:val="00777689"/>
    <w:rsid w:val="007806DC"/>
    <w:rsid w:val="00780A11"/>
    <w:rsid w:val="007811F7"/>
    <w:rsid w:val="00781A62"/>
    <w:rsid w:val="00784FDE"/>
    <w:rsid w:val="00785410"/>
    <w:rsid w:val="007926A9"/>
    <w:rsid w:val="00792E2E"/>
    <w:rsid w:val="007A2522"/>
    <w:rsid w:val="007A317C"/>
    <w:rsid w:val="007A412C"/>
    <w:rsid w:val="007A4D8C"/>
    <w:rsid w:val="007B160D"/>
    <w:rsid w:val="007B2259"/>
    <w:rsid w:val="007B25AA"/>
    <w:rsid w:val="007B2A49"/>
    <w:rsid w:val="007B417E"/>
    <w:rsid w:val="007B7A3E"/>
    <w:rsid w:val="007B7C11"/>
    <w:rsid w:val="007C08DE"/>
    <w:rsid w:val="007C3059"/>
    <w:rsid w:val="007C49F2"/>
    <w:rsid w:val="007C5271"/>
    <w:rsid w:val="007C6E9E"/>
    <w:rsid w:val="007C6FE7"/>
    <w:rsid w:val="007C78A7"/>
    <w:rsid w:val="007D1C3A"/>
    <w:rsid w:val="007D29E3"/>
    <w:rsid w:val="007D3086"/>
    <w:rsid w:val="007D35D9"/>
    <w:rsid w:val="007D53B2"/>
    <w:rsid w:val="007D6933"/>
    <w:rsid w:val="007E3352"/>
    <w:rsid w:val="007E41CA"/>
    <w:rsid w:val="007E5904"/>
    <w:rsid w:val="007E5906"/>
    <w:rsid w:val="007E72D2"/>
    <w:rsid w:val="007E7CD9"/>
    <w:rsid w:val="007F01F7"/>
    <w:rsid w:val="007F3313"/>
    <w:rsid w:val="007F3E32"/>
    <w:rsid w:val="007F427B"/>
    <w:rsid w:val="007F490C"/>
    <w:rsid w:val="007F6CC0"/>
    <w:rsid w:val="007F6DC5"/>
    <w:rsid w:val="007F764A"/>
    <w:rsid w:val="007F7749"/>
    <w:rsid w:val="008000BC"/>
    <w:rsid w:val="008020C6"/>
    <w:rsid w:val="0080221E"/>
    <w:rsid w:val="00805514"/>
    <w:rsid w:val="00807942"/>
    <w:rsid w:val="008111D5"/>
    <w:rsid w:val="008147CE"/>
    <w:rsid w:val="00815F34"/>
    <w:rsid w:val="008171A1"/>
    <w:rsid w:val="00817EFC"/>
    <w:rsid w:val="008223F6"/>
    <w:rsid w:val="00822BD0"/>
    <w:rsid w:val="00825A01"/>
    <w:rsid w:val="00825CFA"/>
    <w:rsid w:val="008379C2"/>
    <w:rsid w:val="00841419"/>
    <w:rsid w:val="00841895"/>
    <w:rsid w:val="0084289C"/>
    <w:rsid w:val="008430FA"/>
    <w:rsid w:val="00845787"/>
    <w:rsid w:val="0084614A"/>
    <w:rsid w:val="00846E3E"/>
    <w:rsid w:val="0085053F"/>
    <w:rsid w:val="00850E96"/>
    <w:rsid w:val="008521EA"/>
    <w:rsid w:val="00854408"/>
    <w:rsid w:val="00854428"/>
    <w:rsid w:val="008554E0"/>
    <w:rsid w:val="00856FD2"/>
    <w:rsid w:val="0085717F"/>
    <w:rsid w:val="008579D1"/>
    <w:rsid w:val="00857C7D"/>
    <w:rsid w:val="00857E2B"/>
    <w:rsid w:val="008608AC"/>
    <w:rsid w:val="00862638"/>
    <w:rsid w:val="0086333B"/>
    <w:rsid w:val="0086518C"/>
    <w:rsid w:val="00865290"/>
    <w:rsid w:val="00865AF0"/>
    <w:rsid w:val="0086614F"/>
    <w:rsid w:val="00866249"/>
    <w:rsid w:val="00867803"/>
    <w:rsid w:val="0087136E"/>
    <w:rsid w:val="0087450B"/>
    <w:rsid w:val="00874B49"/>
    <w:rsid w:val="00874C9D"/>
    <w:rsid w:val="00874F98"/>
    <w:rsid w:val="00875774"/>
    <w:rsid w:val="00876E91"/>
    <w:rsid w:val="00877564"/>
    <w:rsid w:val="00880040"/>
    <w:rsid w:val="00880A97"/>
    <w:rsid w:val="00882023"/>
    <w:rsid w:val="00882271"/>
    <w:rsid w:val="0088301A"/>
    <w:rsid w:val="008844EA"/>
    <w:rsid w:val="00884E87"/>
    <w:rsid w:val="008905D5"/>
    <w:rsid w:val="008912FC"/>
    <w:rsid w:val="008923F6"/>
    <w:rsid w:val="008946B7"/>
    <w:rsid w:val="0089534B"/>
    <w:rsid w:val="008971E3"/>
    <w:rsid w:val="008A29CE"/>
    <w:rsid w:val="008A3A96"/>
    <w:rsid w:val="008A3FEF"/>
    <w:rsid w:val="008B1D1A"/>
    <w:rsid w:val="008B51B5"/>
    <w:rsid w:val="008B69A9"/>
    <w:rsid w:val="008B761E"/>
    <w:rsid w:val="008C119E"/>
    <w:rsid w:val="008C246E"/>
    <w:rsid w:val="008C3D3D"/>
    <w:rsid w:val="008C59B4"/>
    <w:rsid w:val="008C65A2"/>
    <w:rsid w:val="008C6B9F"/>
    <w:rsid w:val="008C7406"/>
    <w:rsid w:val="008D0D27"/>
    <w:rsid w:val="008D1F23"/>
    <w:rsid w:val="008D28C2"/>
    <w:rsid w:val="008D35A7"/>
    <w:rsid w:val="008D395E"/>
    <w:rsid w:val="008D4298"/>
    <w:rsid w:val="008D5109"/>
    <w:rsid w:val="008D7001"/>
    <w:rsid w:val="008D7256"/>
    <w:rsid w:val="008E0080"/>
    <w:rsid w:val="008E08A5"/>
    <w:rsid w:val="008E36DA"/>
    <w:rsid w:val="008E42DE"/>
    <w:rsid w:val="008E5ED2"/>
    <w:rsid w:val="008E6957"/>
    <w:rsid w:val="008F160B"/>
    <w:rsid w:val="008F28D4"/>
    <w:rsid w:val="008F2C4D"/>
    <w:rsid w:val="008F3845"/>
    <w:rsid w:val="008F5208"/>
    <w:rsid w:val="0090398E"/>
    <w:rsid w:val="009059D9"/>
    <w:rsid w:val="009072F0"/>
    <w:rsid w:val="009104DB"/>
    <w:rsid w:val="00911605"/>
    <w:rsid w:val="009127C4"/>
    <w:rsid w:val="00912A07"/>
    <w:rsid w:val="0091466A"/>
    <w:rsid w:val="00914CE0"/>
    <w:rsid w:val="0091554E"/>
    <w:rsid w:val="009163FE"/>
    <w:rsid w:val="0092438D"/>
    <w:rsid w:val="009261A8"/>
    <w:rsid w:val="00926253"/>
    <w:rsid w:val="00930553"/>
    <w:rsid w:val="00930CB6"/>
    <w:rsid w:val="00930EE9"/>
    <w:rsid w:val="009321E2"/>
    <w:rsid w:val="00932279"/>
    <w:rsid w:val="00933F08"/>
    <w:rsid w:val="00934C18"/>
    <w:rsid w:val="0093651E"/>
    <w:rsid w:val="00940227"/>
    <w:rsid w:val="00940FEB"/>
    <w:rsid w:val="0094215C"/>
    <w:rsid w:val="0094555B"/>
    <w:rsid w:val="00946D34"/>
    <w:rsid w:val="009509C4"/>
    <w:rsid w:val="0095214F"/>
    <w:rsid w:val="00953623"/>
    <w:rsid w:val="009543C9"/>
    <w:rsid w:val="00954940"/>
    <w:rsid w:val="009563F4"/>
    <w:rsid w:val="00961A2C"/>
    <w:rsid w:val="00961F56"/>
    <w:rsid w:val="00962A1F"/>
    <w:rsid w:val="009633DC"/>
    <w:rsid w:val="00964C7E"/>
    <w:rsid w:val="009664A3"/>
    <w:rsid w:val="00967889"/>
    <w:rsid w:val="00971409"/>
    <w:rsid w:val="009734AC"/>
    <w:rsid w:val="00973859"/>
    <w:rsid w:val="00975ABF"/>
    <w:rsid w:val="009765F7"/>
    <w:rsid w:val="009766C3"/>
    <w:rsid w:val="00977501"/>
    <w:rsid w:val="00981C86"/>
    <w:rsid w:val="009828B1"/>
    <w:rsid w:val="00990DFF"/>
    <w:rsid w:val="00991C4D"/>
    <w:rsid w:val="00992B6B"/>
    <w:rsid w:val="009940F4"/>
    <w:rsid w:val="009944F2"/>
    <w:rsid w:val="00994623"/>
    <w:rsid w:val="00995CBD"/>
    <w:rsid w:val="009A0053"/>
    <w:rsid w:val="009A1329"/>
    <w:rsid w:val="009A669C"/>
    <w:rsid w:val="009A6E5D"/>
    <w:rsid w:val="009A7097"/>
    <w:rsid w:val="009A7B6A"/>
    <w:rsid w:val="009B299D"/>
    <w:rsid w:val="009B392D"/>
    <w:rsid w:val="009B4A3A"/>
    <w:rsid w:val="009B6A45"/>
    <w:rsid w:val="009B7D5D"/>
    <w:rsid w:val="009C13ED"/>
    <w:rsid w:val="009C37E2"/>
    <w:rsid w:val="009C417D"/>
    <w:rsid w:val="009C63C8"/>
    <w:rsid w:val="009D35E6"/>
    <w:rsid w:val="009E150D"/>
    <w:rsid w:val="009E284F"/>
    <w:rsid w:val="009E30E9"/>
    <w:rsid w:val="009E36ED"/>
    <w:rsid w:val="009F04D4"/>
    <w:rsid w:val="009F407E"/>
    <w:rsid w:val="009F574A"/>
    <w:rsid w:val="00A00F5E"/>
    <w:rsid w:val="00A02B33"/>
    <w:rsid w:val="00A030D8"/>
    <w:rsid w:val="00A06D9A"/>
    <w:rsid w:val="00A1100B"/>
    <w:rsid w:val="00A14D9C"/>
    <w:rsid w:val="00A156A5"/>
    <w:rsid w:val="00A2019B"/>
    <w:rsid w:val="00A26BDE"/>
    <w:rsid w:val="00A30F7B"/>
    <w:rsid w:val="00A31322"/>
    <w:rsid w:val="00A32251"/>
    <w:rsid w:val="00A34514"/>
    <w:rsid w:val="00A34E7F"/>
    <w:rsid w:val="00A365A7"/>
    <w:rsid w:val="00A37B50"/>
    <w:rsid w:val="00A4059B"/>
    <w:rsid w:val="00A422AE"/>
    <w:rsid w:val="00A42D77"/>
    <w:rsid w:val="00A433BD"/>
    <w:rsid w:val="00A44009"/>
    <w:rsid w:val="00A4459D"/>
    <w:rsid w:val="00A445BF"/>
    <w:rsid w:val="00A4499B"/>
    <w:rsid w:val="00A45B9A"/>
    <w:rsid w:val="00A45F02"/>
    <w:rsid w:val="00A5487C"/>
    <w:rsid w:val="00A55121"/>
    <w:rsid w:val="00A56A69"/>
    <w:rsid w:val="00A61197"/>
    <w:rsid w:val="00A6191E"/>
    <w:rsid w:val="00A61E88"/>
    <w:rsid w:val="00A64A00"/>
    <w:rsid w:val="00A64C76"/>
    <w:rsid w:val="00A64D9A"/>
    <w:rsid w:val="00A661B0"/>
    <w:rsid w:val="00A673A3"/>
    <w:rsid w:val="00A72496"/>
    <w:rsid w:val="00A741CA"/>
    <w:rsid w:val="00A745CA"/>
    <w:rsid w:val="00A75316"/>
    <w:rsid w:val="00A763DA"/>
    <w:rsid w:val="00A76982"/>
    <w:rsid w:val="00A778C3"/>
    <w:rsid w:val="00A82174"/>
    <w:rsid w:val="00A83C47"/>
    <w:rsid w:val="00A84F49"/>
    <w:rsid w:val="00A87C12"/>
    <w:rsid w:val="00A9219E"/>
    <w:rsid w:val="00A925E1"/>
    <w:rsid w:val="00A92F8D"/>
    <w:rsid w:val="00A93504"/>
    <w:rsid w:val="00A939AC"/>
    <w:rsid w:val="00A93AF5"/>
    <w:rsid w:val="00A95FAB"/>
    <w:rsid w:val="00A96353"/>
    <w:rsid w:val="00A96584"/>
    <w:rsid w:val="00A966B4"/>
    <w:rsid w:val="00AA135A"/>
    <w:rsid w:val="00AA17F1"/>
    <w:rsid w:val="00AA24B9"/>
    <w:rsid w:val="00AA39E9"/>
    <w:rsid w:val="00AA3D42"/>
    <w:rsid w:val="00AA43B7"/>
    <w:rsid w:val="00AA4A8B"/>
    <w:rsid w:val="00AA5E82"/>
    <w:rsid w:val="00AA6308"/>
    <w:rsid w:val="00AB09D9"/>
    <w:rsid w:val="00AB0D04"/>
    <w:rsid w:val="00AB1CFE"/>
    <w:rsid w:val="00AB3F64"/>
    <w:rsid w:val="00AB5155"/>
    <w:rsid w:val="00AB632C"/>
    <w:rsid w:val="00AB73AB"/>
    <w:rsid w:val="00AC59A2"/>
    <w:rsid w:val="00AD0BD6"/>
    <w:rsid w:val="00AD41B3"/>
    <w:rsid w:val="00AD7575"/>
    <w:rsid w:val="00AD7E69"/>
    <w:rsid w:val="00AE422C"/>
    <w:rsid w:val="00AE5484"/>
    <w:rsid w:val="00AE7D62"/>
    <w:rsid w:val="00AF3D99"/>
    <w:rsid w:val="00AF4924"/>
    <w:rsid w:val="00AF4F5C"/>
    <w:rsid w:val="00B015B1"/>
    <w:rsid w:val="00B04882"/>
    <w:rsid w:val="00B04920"/>
    <w:rsid w:val="00B05165"/>
    <w:rsid w:val="00B05B49"/>
    <w:rsid w:val="00B109A9"/>
    <w:rsid w:val="00B11206"/>
    <w:rsid w:val="00B14C03"/>
    <w:rsid w:val="00B166F9"/>
    <w:rsid w:val="00B200FD"/>
    <w:rsid w:val="00B21455"/>
    <w:rsid w:val="00B22840"/>
    <w:rsid w:val="00B26B55"/>
    <w:rsid w:val="00B274CF"/>
    <w:rsid w:val="00B300EC"/>
    <w:rsid w:val="00B310A2"/>
    <w:rsid w:val="00B321DB"/>
    <w:rsid w:val="00B34193"/>
    <w:rsid w:val="00B34A34"/>
    <w:rsid w:val="00B3589F"/>
    <w:rsid w:val="00B35D9A"/>
    <w:rsid w:val="00B36DCE"/>
    <w:rsid w:val="00B4575E"/>
    <w:rsid w:val="00B47131"/>
    <w:rsid w:val="00B5096E"/>
    <w:rsid w:val="00B514E3"/>
    <w:rsid w:val="00B52F9B"/>
    <w:rsid w:val="00B54415"/>
    <w:rsid w:val="00B545F3"/>
    <w:rsid w:val="00B57064"/>
    <w:rsid w:val="00B57460"/>
    <w:rsid w:val="00B60B3B"/>
    <w:rsid w:val="00B61D09"/>
    <w:rsid w:val="00B64826"/>
    <w:rsid w:val="00B671BE"/>
    <w:rsid w:val="00B701D3"/>
    <w:rsid w:val="00B70DAF"/>
    <w:rsid w:val="00B72E5C"/>
    <w:rsid w:val="00B74F4B"/>
    <w:rsid w:val="00B753BA"/>
    <w:rsid w:val="00B767C1"/>
    <w:rsid w:val="00B8033A"/>
    <w:rsid w:val="00B8047E"/>
    <w:rsid w:val="00B80674"/>
    <w:rsid w:val="00B82D5C"/>
    <w:rsid w:val="00B86758"/>
    <w:rsid w:val="00B87784"/>
    <w:rsid w:val="00B9063B"/>
    <w:rsid w:val="00B90EC5"/>
    <w:rsid w:val="00B9278B"/>
    <w:rsid w:val="00B937E6"/>
    <w:rsid w:val="00B95C08"/>
    <w:rsid w:val="00B96507"/>
    <w:rsid w:val="00B969A2"/>
    <w:rsid w:val="00BA066E"/>
    <w:rsid w:val="00BA101E"/>
    <w:rsid w:val="00BA13C1"/>
    <w:rsid w:val="00BA2C0C"/>
    <w:rsid w:val="00BA2DE4"/>
    <w:rsid w:val="00BA4D02"/>
    <w:rsid w:val="00BA6274"/>
    <w:rsid w:val="00BA77F5"/>
    <w:rsid w:val="00BB02DC"/>
    <w:rsid w:val="00BB1612"/>
    <w:rsid w:val="00BB2D5A"/>
    <w:rsid w:val="00BB4053"/>
    <w:rsid w:val="00BB4A62"/>
    <w:rsid w:val="00BB4FD3"/>
    <w:rsid w:val="00BB6903"/>
    <w:rsid w:val="00BB69A2"/>
    <w:rsid w:val="00BB7F27"/>
    <w:rsid w:val="00BC3E2C"/>
    <w:rsid w:val="00BC4B16"/>
    <w:rsid w:val="00BC4F49"/>
    <w:rsid w:val="00BD0C49"/>
    <w:rsid w:val="00BD0DA6"/>
    <w:rsid w:val="00BD1E34"/>
    <w:rsid w:val="00BD22C4"/>
    <w:rsid w:val="00BD5893"/>
    <w:rsid w:val="00BD5C06"/>
    <w:rsid w:val="00BD7D1F"/>
    <w:rsid w:val="00BE0066"/>
    <w:rsid w:val="00BE0EA9"/>
    <w:rsid w:val="00BE21E2"/>
    <w:rsid w:val="00BE32CF"/>
    <w:rsid w:val="00BE47E9"/>
    <w:rsid w:val="00BE4DD2"/>
    <w:rsid w:val="00BE50F3"/>
    <w:rsid w:val="00BE57FC"/>
    <w:rsid w:val="00BF0341"/>
    <w:rsid w:val="00BF0ED7"/>
    <w:rsid w:val="00BF1359"/>
    <w:rsid w:val="00C010F1"/>
    <w:rsid w:val="00C01194"/>
    <w:rsid w:val="00C01929"/>
    <w:rsid w:val="00C02FD9"/>
    <w:rsid w:val="00C06E4F"/>
    <w:rsid w:val="00C07A84"/>
    <w:rsid w:val="00C11060"/>
    <w:rsid w:val="00C11C90"/>
    <w:rsid w:val="00C11FB7"/>
    <w:rsid w:val="00C142C0"/>
    <w:rsid w:val="00C206A5"/>
    <w:rsid w:val="00C22864"/>
    <w:rsid w:val="00C2313A"/>
    <w:rsid w:val="00C26C5F"/>
    <w:rsid w:val="00C275D2"/>
    <w:rsid w:val="00C37F49"/>
    <w:rsid w:val="00C4009A"/>
    <w:rsid w:val="00C4018F"/>
    <w:rsid w:val="00C40605"/>
    <w:rsid w:val="00C44678"/>
    <w:rsid w:val="00C46079"/>
    <w:rsid w:val="00C478E5"/>
    <w:rsid w:val="00C47A44"/>
    <w:rsid w:val="00C50B6E"/>
    <w:rsid w:val="00C53207"/>
    <w:rsid w:val="00C63B46"/>
    <w:rsid w:val="00C653F2"/>
    <w:rsid w:val="00C7179D"/>
    <w:rsid w:val="00C719F7"/>
    <w:rsid w:val="00C77111"/>
    <w:rsid w:val="00C821D7"/>
    <w:rsid w:val="00C8337B"/>
    <w:rsid w:val="00C836A4"/>
    <w:rsid w:val="00C8420E"/>
    <w:rsid w:val="00C9004B"/>
    <w:rsid w:val="00C9069B"/>
    <w:rsid w:val="00C924F9"/>
    <w:rsid w:val="00C944D2"/>
    <w:rsid w:val="00C9573B"/>
    <w:rsid w:val="00C96D7C"/>
    <w:rsid w:val="00C96FC9"/>
    <w:rsid w:val="00CA24E6"/>
    <w:rsid w:val="00CA2A71"/>
    <w:rsid w:val="00CA3D38"/>
    <w:rsid w:val="00CA6D47"/>
    <w:rsid w:val="00CA6DC5"/>
    <w:rsid w:val="00CA6E36"/>
    <w:rsid w:val="00CA7251"/>
    <w:rsid w:val="00CB13AF"/>
    <w:rsid w:val="00CB3E51"/>
    <w:rsid w:val="00CB3FB9"/>
    <w:rsid w:val="00CB7A89"/>
    <w:rsid w:val="00CC0C45"/>
    <w:rsid w:val="00CC2808"/>
    <w:rsid w:val="00CC594F"/>
    <w:rsid w:val="00CD0012"/>
    <w:rsid w:val="00CD0E49"/>
    <w:rsid w:val="00CD33F1"/>
    <w:rsid w:val="00CD3446"/>
    <w:rsid w:val="00CD4227"/>
    <w:rsid w:val="00CD5893"/>
    <w:rsid w:val="00CD5E0A"/>
    <w:rsid w:val="00CD71E0"/>
    <w:rsid w:val="00CD76B0"/>
    <w:rsid w:val="00CE1361"/>
    <w:rsid w:val="00CE1901"/>
    <w:rsid w:val="00CE2A48"/>
    <w:rsid w:val="00CE3D56"/>
    <w:rsid w:val="00CE3E72"/>
    <w:rsid w:val="00CE4333"/>
    <w:rsid w:val="00CE4EA8"/>
    <w:rsid w:val="00CE52F8"/>
    <w:rsid w:val="00CE65F5"/>
    <w:rsid w:val="00CE6864"/>
    <w:rsid w:val="00CE6A28"/>
    <w:rsid w:val="00CF025F"/>
    <w:rsid w:val="00CF1A22"/>
    <w:rsid w:val="00CF3C4C"/>
    <w:rsid w:val="00CF3E1A"/>
    <w:rsid w:val="00CF5343"/>
    <w:rsid w:val="00CF6CFF"/>
    <w:rsid w:val="00D0076B"/>
    <w:rsid w:val="00D01CF7"/>
    <w:rsid w:val="00D0356B"/>
    <w:rsid w:val="00D04C44"/>
    <w:rsid w:val="00D078DB"/>
    <w:rsid w:val="00D10DE8"/>
    <w:rsid w:val="00D1193B"/>
    <w:rsid w:val="00D1348D"/>
    <w:rsid w:val="00D14A09"/>
    <w:rsid w:val="00D1606D"/>
    <w:rsid w:val="00D22834"/>
    <w:rsid w:val="00D261E5"/>
    <w:rsid w:val="00D26BDB"/>
    <w:rsid w:val="00D276E0"/>
    <w:rsid w:val="00D33119"/>
    <w:rsid w:val="00D3455F"/>
    <w:rsid w:val="00D3510E"/>
    <w:rsid w:val="00D3524B"/>
    <w:rsid w:val="00D368F1"/>
    <w:rsid w:val="00D41951"/>
    <w:rsid w:val="00D41DD7"/>
    <w:rsid w:val="00D422E8"/>
    <w:rsid w:val="00D424CE"/>
    <w:rsid w:val="00D45817"/>
    <w:rsid w:val="00D50D59"/>
    <w:rsid w:val="00D51AF3"/>
    <w:rsid w:val="00D51B7B"/>
    <w:rsid w:val="00D540E7"/>
    <w:rsid w:val="00D54BF9"/>
    <w:rsid w:val="00D550FF"/>
    <w:rsid w:val="00D57814"/>
    <w:rsid w:val="00D62115"/>
    <w:rsid w:val="00D63ED4"/>
    <w:rsid w:val="00D644AF"/>
    <w:rsid w:val="00D66A1E"/>
    <w:rsid w:val="00D71E8A"/>
    <w:rsid w:val="00D73030"/>
    <w:rsid w:val="00D73092"/>
    <w:rsid w:val="00D731B0"/>
    <w:rsid w:val="00D738CE"/>
    <w:rsid w:val="00D764C5"/>
    <w:rsid w:val="00D777F6"/>
    <w:rsid w:val="00D8040A"/>
    <w:rsid w:val="00D81AF9"/>
    <w:rsid w:val="00D8253E"/>
    <w:rsid w:val="00D836E5"/>
    <w:rsid w:val="00D83B87"/>
    <w:rsid w:val="00D84B28"/>
    <w:rsid w:val="00D850BA"/>
    <w:rsid w:val="00D908EB"/>
    <w:rsid w:val="00D92291"/>
    <w:rsid w:val="00D937C9"/>
    <w:rsid w:val="00D94070"/>
    <w:rsid w:val="00D96F5B"/>
    <w:rsid w:val="00D97593"/>
    <w:rsid w:val="00DA347D"/>
    <w:rsid w:val="00DA5B6D"/>
    <w:rsid w:val="00DA652F"/>
    <w:rsid w:val="00DB029E"/>
    <w:rsid w:val="00DB2490"/>
    <w:rsid w:val="00DB4D41"/>
    <w:rsid w:val="00DB7A6B"/>
    <w:rsid w:val="00DB7D1F"/>
    <w:rsid w:val="00DC1DDE"/>
    <w:rsid w:val="00DC1E0B"/>
    <w:rsid w:val="00DC1FCD"/>
    <w:rsid w:val="00DC385F"/>
    <w:rsid w:val="00DC49D3"/>
    <w:rsid w:val="00DC5CF2"/>
    <w:rsid w:val="00DC669E"/>
    <w:rsid w:val="00DC7CDF"/>
    <w:rsid w:val="00DD21FC"/>
    <w:rsid w:val="00DD3E68"/>
    <w:rsid w:val="00DD517C"/>
    <w:rsid w:val="00DD76CD"/>
    <w:rsid w:val="00DE06F1"/>
    <w:rsid w:val="00DE1AED"/>
    <w:rsid w:val="00DE36F3"/>
    <w:rsid w:val="00DE38D0"/>
    <w:rsid w:val="00DE39F0"/>
    <w:rsid w:val="00DE4734"/>
    <w:rsid w:val="00DE578E"/>
    <w:rsid w:val="00DE57CE"/>
    <w:rsid w:val="00DF027E"/>
    <w:rsid w:val="00DF2153"/>
    <w:rsid w:val="00DF2F94"/>
    <w:rsid w:val="00DF57AD"/>
    <w:rsid w:val="00DF7CB4"/>
    <w:rsid w:val="00DF7EC5"/>
    <w:rsid w:val="00E00EEC"/>
    <w:rsid w:val="00E06673"/>
    <w:rsid w:val="00E12870"/>
    <w:rsid w:val="00E13F8F"/>
    <w:rsid w:val="00E1430D"/>
    <w:rsid w:val="00E15630"/>
    <w:rsid w:val="00E15AE7"/>
    <w:rsid w:val="00E16010"/>
    <w:rsid w:val="00E163DE"/>
    <w:rsid w:val="00E20E2D"/>
    <w:rsid w:val="00E212DE"/>
    <w:rsid w:val="00E31494"/>
    <w:rsid w:val="00E31F69"/>
    <w:rsid w:val="00E33D54"/>
    <w:rsid w:val="00E34728"/>
    <w:rsid w:val="00E362C4"/>
    <w:rsid w:val="00E37E44"/>
    <w:rsid w:val="00E41EDB"/>
    <w:rsid w:val="00E42785"/>
    <w:rsid w:val="00E42F2E"/>
    <w:rsid w:val="00E46B88"/>
    <w:rsid w:val="00E47B13"/>
    <w:rsid w:val="00E5017F"/>
    <w:rsid w:val="00E54C70"/>
    <w:rsid w:val="00E556EE"/>
    <w:rsid w:val="00E5638B"/>
    <w:rsid w:val="00E5761F"/>
    <w:rsid w:val="00E57D2E"/>
    <w:rsid w:val="00E605A9"/>
    <w:rsid w:val="00E61AC2"/>
    <w:rsid w:val="00E63C95"/>
    <w:rsid w:val="00E65026"/>
    <w:rsid w:val="00E65B95"/>
    <w:rsid w:val="00E66419"/>
    <w:rsid w:val="00E664A3"/>
    <w:rsid w:val="00E66537"/>
    <w:rsid w:val="00E70078"/>
    <w:rsid w:val="00E723ED"/>
    <w:rsid w:val="00E731E3"/>
    <w:rsid w:val="00E7564B"/>
    <w:rsid w:val="00E7635C"/>
    <w:rsid w:val="00E771D1"/>
    <w:rsid w:val="00E77CCD"/>
    <w:rsid w:val="00E80CBA"/>
    <w:rsid w:val="00E835F1"/>
    <w:rsid w:val="00E84957"/>
    <w:rsid w:val="00E86C99"/>
    <w:rsid w:val="00E876A7"/>
    <w:rsid w:val="00E90A76"/>
    <w:rsid w:val="00E93724"/>
    <w:rsid w:val="00E946E1"/>
    <w:rsid w:val="00E962FA"/>
    <w:rsid w:val="00EA18D7"/>
    <w:rsid w:val="00EA328E"/>
    <w:rsid w:val="00EA474A"/>
    <w:rsid w:val="00EA4D50"/>
    <w:rsid w:val="00EA55B4"/>
    <w:rsid w:val="00EB449D"/>
    <w:rsid w:val="00EB5710"/>
    <w:rsid w:val="00EB68CD"/>
    <w:rsid w:val="00EB78A1"/>
    <w:rsid w:val="00EB7E8D"/>
    <w:rsid w:val="00EC01F2"/>
    <w:rsid w:val="00EC27BE"/>
    <w:rsid w:val="00EC3D87"/>
    <w:rsid w:val="00EC3EDE"/>
    <w:rsid w:val="00EC5E01"/>
    <w:rsid w:val="00EC5EDF"/>
    <w:rsid w:val="00EC6850"/>
    <w:rsid w:val="00EC7584"/>
    <w:rsid w:val="00ED0BC3"/>
    <w:rsid w:val="00ED15B7"/>
    <w:rsid w:val="00ED1961"/>
    <w:rsid w:val="00ED604A"/>
    <w:rsid w:val="00ED685C"/>
    <w:rsid w:val="00ED6AB4"/>
    <w:rsid w:val="00EE1965"/>
    <w:rsid w:val="00EE22BB"/>
    <w:rsid w:val="00EE6B68"/>
    <w:rsid w:val="00EE7DE1"/>
    <w:rsid w:val="00EF0EBD"/>
    <w:rsid w:val="00EF241B"/>
    <w:rsid w:val="00EF41A0"/>
    <w:rsid w:val="00EF44AB"/>
    <w:rsid w:val="00EF48D2"/>
    <w:rsid w:val="00EF614A"/>
    <w:rsid w:val="00EF7761"/>
    <w:rsid w:val="00F00251"/>
    <w:rsid w:val="00F010FF"/>
    <w:rsid w:val="00F02753"/>
    <w:rsid w:val="00F02938"/>
    <w:rsid w:val="00F02DAF"/>
    <w:rsid w:val="00F036B5"/>
    <w:rsid w:val="00F0502B"/>
    <w:rsid w:val="00F101B1"/>
    <w:rsid w:val="00F11B9E"/>
    <w:rsid w:val="00F12476"/>
    <w:rsid w:val="00F13AE1"/>
    <w:rsid w:val="00F178D0"/>
    <w:rsid w:val="00F239F4"/>
    <w:rsid w:val="00F23C24"/>
    <w:rsid w:val="00F24687"/>
    <w:rsid w:val="00F24ED1"/>
    <w:rsid w:val="00F2678D"/>
    <w:rsid w:val="00F272A7"/>
    <w:rsid w:val="00F301E1"/>
    <w:rsid w:val="00F305BE"/>
    <w:rsid w:val="00F3087C"/>
    <w:rsid w:val="00F311F8"/>
    <w:rsid w:val="00F31733"/>
    <w:rsid w:val="00F32FAE"/>
    <w:rsid w:val="00F335E1"/>
    <w:rsid w:val="00F34C6F"/>
    <w:rsid w:val="00F378D0"/>
    <w:rsid w:val="00F40B19"/>
    <w:rsid w:val="00F435E0"/>
    <w:rsid w:val="00F43D33"/>
    <w:rsid w:val="00F45610"/>
    <w:rsid w:val="00F54364"/>
    <w:rsid w:val="00F54990"/>
    <w:rsid w:val="00F54B8A"/>
    <w:rsid w:val="00F60319"/>
    <w:rsid w:val="00F63565"/>
    <w:rsid w:val="00F641C6"/>
    <w:rsid w:val="00F646D5"/>
    <w:rsid w:val="00F67325"/>
    <w:rsid w:val="00F67762"/>
    <w:rsid w:val="00F7048C"/>
    <w:rsid w:val="00F72012"/>
    <w:rsid w:val="00F7356D"/>
    <w:rsid w:val="00F75AB5"/>
    <w:rsid w:val="00F76D3C"/>
    <w:rsid w:val="00F77517"/>
    <w:rsid w:val="00F77B0E"/>
    <w:rsid w:val="00F77E21"/>
    <w:rsid w:val="00F82048"/>
    <w:rsid w:val="00F8258E"/>
    <w:rsid w:val="00F83771"/>
    <w:rsid w:val="00F83CDB"/>
    <w:rsid w:val="00F84561"/>
    <w:rsid w:val="00F8541F"/>
    <w:rsid w:val="00F8609F"/>
    <w:rsid w:val="00F865BB"/>
    <w:rsid w:val="00F87955"/>
    <w:rsid w:val="00F928EE"/>
    <w:rsid w:val="00F937AC"/>
    <w:rsid w:val="00F9702D"/>
    <w:rsid w:val="00F97D98"/>
    <w:rsid w:val="00FA60C4"/>
    <w:rsid w:val="00FB04C9"/>
    <w:rsid w:val="00FB1836"/>
    <w:rsid w:val="00FB3BA5"/>
    <w:rsid w:val="00FB40E0"/>
    <w:rsid w:val="00FB4AD4"/>
    <w:rsid w:val="00FC0AB3"/>
    <w:rsid w:val="00FC2ACB"/>
    <w:rsid w:val="00FC4235"/>
    <w:rsid w:val="00FC4D4A"/>
    <w:rsid w:val="00FC6D79"/>
    <w:rsid w:val="00FD44CF"/>
    <w:rsid w:val="00FD4E31"/>
    <w:rsid w:val="00FE1B12"/>
    <w:rsid w:val="00FE26D3"/>
    <w:rsid w:val="00FE367E"/>
    <w:rsid w:val="00FE624C"/>
    <w:rsid w:val="00FE676E"/>
    <w:rsid w:val="00FF0086"/>
    <w:rsid w:val="00FF0BBC"/>
    <w:rsid w:val="00FF76BA"/>
    <w:rsid w:val="1A23D4C7"/>
    <w:rsid w:val="2AA3C01B"/>
    <w:rsid w:val="359C5DC0"/>
    <w:rsid w:val="3A95F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786D50"/>
  <w15:chartTrackingRefBased/>
  <w15:docId w15:val="{7ABCDA86-47E3-2A44-8CC4-C77981225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000000" w:themeColor="text1"/>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0589C"/>
    <w:pPr>
      <w:widowControl w:val="0"/>
      <w:autoSpaceDE w:val="0"/>
      <w:autoSpaceDN w:val="0"/>
      <w:adjustRightInd w:val="0"/>
    </w:pPr>
    <w:rPr>
      <w:rFonts w:eastAsiaTheme="minorEastAsia"/>
      <w:color w:val="auto"/>
      <w:sz w:val="22"/>
      <w:szCs w:val="22"/>
    </w:rPr>
  </w:style>
  <w:style w:type="paragraph" w:styleId="Heading1">
    <w:name w:val="heading 1"/>
    <w:basedOn w:val="Normal"/>
    <w:next w:val="Normal"/>
    <w:link w:val="Heading1Char"/>
    <w:uiPriority w:val="1"/>
    <w:qFormat/>
    <w:rsid w:val="0070589C"/>
    <w:pPr>
      <w:ind w:left="160"/>
      <w:outlineLvl w:val="0"/>
    </w:pPr>
    <w:rPr>
      <w:b/>
      <w:bCs/>
      <w:sz w:val="24"/>
      <w:szCs w:val="24"/>
    </w:rPr>
  </w:style>
  <w:style w:type="paragraph" w:styleId="Heading2">
    <w:name w:val="heading 2"/>
    <w:basedOn w:val="Normal"/>
    <w:next w:val="Normal"/>
    <w:link w:val="Heading2Char"/>
    <w:uiPriority w:val="9"/>
    <w:semiHidden/>
    <w:unhideWhenUsed/>
    <w:qFormat/>
    <w:rsid w:val="0070589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uiPriority w:val="9"/>
    <w:unhideWhenUsed/>
    <w:qFormat/>
    <w:rsid w:val="3A95F3E5"/>
    <w:pPr>
      <w:keepNext/>
      <w:keepLines/>
      <w:spacing w:before="160" w:after="80"/>
      <w:outlineLvl w:val="2"/>
    </w:pPr>
    <w:rPr>
      <w:rFonts w:eastAsiaTheme="majorEastAsia" w:cstheme="majorBidi"/>
      <w:color w:val="2F5496"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70589C"/>
    <w:rPr>
      <w:rFonts w:eastAsiaTheme="minorEastAsia"/>
      <w:b/>
      <w:bCs/>
      <w:color w:val="auto"/>
    </w:rPr>
  </w:style>
  <w:style w:type="character" w:customStyle="1" w:styleId="Heading2Char">
    <w:name w:val="Heading 2 Char"/>
    <w:basedOn w:val="DefaultParagraphFont"/>
    <w:link w:val="Heading2"/>
    <w:uiPriority w:val="9"/>
    <w:semiHidden/>
    <w:rsid w:val="0070589C"/>
    <w:rPr>
      <w:rFonts w:asciiTheme="majorHAnsi" w:eastAsiaTheme="majorEastAsia" w:hAnsiTheme="majorHAnsi" w:cstheme="majorBidi"/>
      <w:color w:val="2F5496" w:themeColor="accent1" w:themeShade="BF"/>
      <w:sz w:val="26"/>
      <w:szCs w:val="26"/>
    </w:rPr>
  </w:style>
  <w:style w:type="paragraph" w:styleId="BodyText">
    <w:name w:val="Body Text"/>
    <w:basedOn w:val="Normal"/>
    <w:link w:val="BodyTextChar"/>
    <w:uiPriority w:val="1"/>
    <w:qFormat/>
    <w:rsid w:val="0070589C"/>
    <w:rPr>
      <w:sz w:val="24"/>
      <w:szCs w:val="24"/>
    </w:rPr>
  </w:style>
  <w:style w:type="character" w:customStyle="1" w:styleId="BodyTextChar">
    <w:name w:val="Body Text Char"/>
    <w:basedOn w:val="DefaultParagraphFont"/>
    <w:link w:val="BodyText"/>
    <w:uiPriority w:val="99"/>
    <w:rsid w:val="0070589C"/>
    <w:rPr>
      <w:rFonts w:eastAsiaTheme="minorEastAsia"/>
      <w:color w:val="auto"/>
    </w:rPr>
  </w:style>
  <w:style w:type="paragraph" w:styleId="ListParagraph">
    <w:name w:val="List Paragraph"/>
    <w:basedOn w:val="Normal"/>
    <w:uiPriority w:val="34"/>
    <w:qFormat/>
    <w:rsid w:val="0070589C"/>
    <w:pPr>
      <w:ind w:left="880" w:hanging="720"/>
    </w:pPr>
    <w:rPr>
      <w:sz w:val="24"/>
      <w:szCs w:val="24"/>
    </w:rPr>
  </w:style>
  <w:style w:type="paragraph" w:styleId="BalloonText">
    <w:name w:val="Balloon Text"/>
    <w:basedOn w:val="Normal"/>
    <w:link w:val="BalloonTextChar"/>
    <w:uiPriority w:val="99"/>
    <w:semiHidden/>
    <w:unhideWhenUsed/>
    <w:rsid w:val="0070589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89C"/>
    <w:rPr>
      <w:rFonts w:ascii="Segoe UI" w:eastAsiaTheme="minorEastAsia" w:hAnsi="Segoe UI" w:cs="Segoe UI"/>
      <w:color w:val="auto"/>
      <w:sz w:val="18"/>
      <w:szCs w:val="18"/>
    </w:rPr>
  </w:style>
  <w:style w:type="paragraph" w:styleId="FootnoteText">
    <w:name w:val="footnote text"/>
    <w:basedOn w:val="Normal"/>
    <w:link w:val="FootnoteTextChar"/>
    <w:uiPriority w:val="99"/>
    <w:unhideWhenUsed/>
    <w:rsid w:val="0070589C"/>
    <w:pPr>
      <w:widowControl/>
      <w:autoSpaceDE/>
      <w:autoSpaceDN/>
      <w:adjustRightInd/>
    </w:pPr>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rsid w:val="0070589C"/>
    <w:rPr>
      <w:rFonts w:asciiTheme="minorHAnsi" w:hAnsiTheme="minorHAnsi" w:cstheme="minorBidi"/>
      <w:color w:val="auto"/>
      <w:sz w:val="20"/>
      <w:szCs w:val="20"/>
    </w:rPr>
  </w:style>
  <w:style w:type="character" w:styleId="FootnoteReference">
    <w:name w:val="footnote reference"/>
    <w:basedOn w:val="DefaultParagraphFont"/>
    <w:uiPriority w:val="99"/>
    <w:semiHidden/>
    <w:unhideWhenUsed/>
    <w:rsid w:val="0070589C"/>
    <w:rPr>
      <w:vertAlign w:val="superscript"/>
    </w:rPr>
  </w:style>
  <w:style w:type="paragraph" w:styleId="Header">
    <w:name w:val="header"/>
    <w:basedOn w:val="Normal"/>
    <w:link w:val="HeaderChar"/>
    <w:uiPriority w:val="99"/>
    <w:unhideWhenUsed/>
    <w:rsid w:val="0070589C"/>
    <w:pPr>
      <w:widowControl/>
      <w:tabs>
        <w:tab w:val="center" w:pos="4680"/>
        <w:tab w:val="right" w:pos="9360"/>
      </w:tabs>
      <w:autoSpaceDE/>
      <w:autoSpaceDN/>
      <w:adjustRightInd/>
    </w:pPr>
    <w:rPr>
      <w:rFonts w:asciiTheme="minorHAnsi" w:eastAsiaTheme="minorHAnsi" w:hAnsiTheme="minorHAnsi" w:cstheme="minorBidi"/>
    </w:rPr>
  </w:style>
  <w:style w:type="character" w:customStyle="1" w:styleId="HeaderChar">
    <w:name w:val="Header Char"/>
    <w:basedOn w:val="DefaultParagraphFont"/>
    <w:link w:val="Header"/>
    <w:uiPriority w:val="99"/>
    <w:rsid w:val="0070589C"/>
    <w:rPr>
      <w:rFonts w:asciiTheme="minorHAnsi" w:hAnsiTheme="minorHAnsi" w:cstheme="minorBidi"/>
      <w:color w:val="auto"/>
      <w:sz w:val="22"/>
      <w:szCs w:val="22"/>
    </w:rPr>
  </w:style>
  <w:style w:type="character" w:styleId="CommentReference">
    <w:name w:val="annotation reference"/>
    <w:basedOn w:val="DefaultParagraphFont"/>
    <w:uiPriority w:val="99"/>
    <w:semiHidden/>
    <w:unhideWhenUsed/>
    <w:rsid w:val="0070589C"/>
    <w:rPr>
      <w:sz w:val="16"/>
      <w:szCs w:val="16"/>
    </w:rPr>
  </w:style>
  <w:style w:type="paragraph" w:styleId="CommentText">
    <w:name w:val="annotation text"/>
    <w:basedOn w:val="Normal"/>
    <w:link w:val="CommentTextChar"/>
    <w:uiPriority w:val="99"/>
    <w:semiHidden/>
    <w:unhideWhenUsed/>
    <w:rsid w:val="0070589C"/>
    <w:rPr>
      <w:sz w:val="20"/>
      <w:szCs w:val="20"/>
    </w:rPr>
  </w:style>
  <w:style w:type="character" w:customStyle="1" w:styleId="CommentTextChar">
    <w:name w:val="Comment Text Char"/>
    <w:basedOn w:val="DefaultParagraphFont"/>
    <w:link w:val="CommentText"/>
    <w:uiPriority w:val="99"/>
    <w:semiHidden/>
    <w:rsid w:val="0070589C"/>
    <w:rPr>
      <w:rFonts w:eastAsiaTheme="minorEastAsia"/>
      <w:color w:val="auto"/>
      <w:sz w:val="20"/>
      <w:szCs w:val="20"/>
    </w:rPr>
  </w:style>
  <w:style w:type="paragraph" w:styleId="CommentSubject">
    <w:name w:val="annotation subject"/>
    <w:basedOn w:val="CommentText"/>
    <w:next w:val="CommentText"/>
    <w:link w:val="CommentSubjectChar"/>
    <w:uiPriority w:val="99"/>
    <w:semiHidden/>
    <w:unhideWhenUsed/>
    <w:rsid w:val="0070589C"/>
    <w:rPr>
      <w:b/>
      <w:bCs/>
    </w:rPr>
  </w:style>
  <w:style w:type="character" w:customStyle="1" w:styleId="CommentSubjectChar">
    <w:name w:val="Comment Subject Char"/>
    <w:basedOn w:val="CommentTextChar"/>
    <w:link w:val="CommentSubject"/>
    <w:uiPriority w:val="99"/>
    <w:semiHidden/>
    <w:rsid w:val="0070589C"/>
    <w:rPr>
      <w:rFonts w:eastAsiaTheme="minorEastAsia"/>
      <w:b/>
      <w:bCs/>
      <w:color w:val="auto"/>
      <w:sz w:val="20"/>
      <w:szCs w:val="20"/>
    </w:rPr>
  </w:style>
  <w:style w:type="character" w:styleId="Hyperlink">
    <w:name w:val="Hyperlink"/>
    <w:basedOn w:val="DefaultParagraphFont"/>
    <w:uiPriority w:val="99"/>
    <w:unhideWhenUsed/>
    <w:rsid w:val="0070589C"/>
    <w:rPr>
      <w:color w:val="0563C1" w:themeColor="hyperlink"/>
      <w:u w:val="single"/>
    </w:rPr>
  </w:style>
  <w:style w:type="character" w:customStyle="1" w:styleId="UnresolvedMention1">
    <w:name w:val="Unresolved Mention1"/>
    <w:basedOn w:val="DefaultParagraphFont"/>
    <w:uiPriority w:val="99"/>
    <w:semiHidden/>
    <w:unhideWhenUsed/>
    <w:rsid w:val="0070589C"/>
    <w:rPr>
      <w:color w:val="605E5C"/>
      <w:shd w:val="clear" w:color="auto" w:fill="E1DFDD"/>
    </w:rPr>
  </w:style>
  <w:style w:type="character" w:styleId="FollowedHyperlink">
    <w:name w:val="FollowedHyperlink"/>
    <w:basedOn w:val="DefaultParagraphFont"/>
    <w:uiPriority w:val="99"/>
    <w:semiHidden/>
    <w:unhideWhenUsed/>
    <w:rsid w:val="0070589C"/>
    <w:rPr>
      <w:color w:val="954F72" w:themeColor="followedHyperlink"/>
      <w:u w:val="single"/>
    </w:rPr>
  </w:style>
  <w:style w:type="paragraph" w:customStyle="1" w:styleId="TableParagraph">
    <w:name w:val="Table Paragraph"/>
    <w:basedOn w:val="Normal"/>
    <w:uiPriority w:val="1"/>
    <w:qFormat/>
    <w:rsid w:val="0070589C"/>
    <w:rPr>
      <w:sz w:val="24"/>
      <w:szCs w:val="24"/>
    </w:rPr>
  </w:style>
  <w:style w:type="paragraph" w:styleId="Footer">
    <w:name w:val="footer"/>
    <w:basedOn w:val="Normal"/>
    <w:link w:val="FooterChar"/>
    <w:uiPriority w:val="99"/>
    <w:unhideWhenUsed/>
    <w:rsid w:val="0070589C"/>
    <w:pPr>
      <w:tabs>
        <w:tab w:val="center" w:pos="4680"/>
        <w:tab w:val="right" w:pos="9360"/>
      </w:tabs>
    </w:pPr>
  </w:style>
  <w:style w:type="character" w:customStyle="1" w:styleId="FooterChar">
    <w:name w:val="Footer Char"/>
    <w:basedOn w:val="DefaultParagraphFont"/>
    <w:link w:val="Footer"/>
    <w:uiPriority w:val="99"/>
    <w:rsid w:val="0070589C"/>
    <w:rPr>
      <w:rFonts w:eastAsiaTheme="minorEastAsia"/>
      <w:color w:val="auto"/>
      <w:sz w:val="22"/>
      <w:szCs w:val="22"/>
    </w:rPr>
  </w:style>
  <w:style w:type="character" w:styleId="PageNumber">
    <w:name w:val="page number"/>
    <w:basedOn w:val="DefaultParagraphFont"/>
    <w:uiPriority w:val="99"/>
    <w:semiHidden/>
    <w:unhideWhenUsed/>
    <w:rsid w:val="0070589C"/>
  </w:style>
  <w:style w:type="paragraph" w:styleId="NormalWeb">
    <w:name w:val="Normal (Web)"/>
    <w:basedOn w:val="Normal"/>
    <w:uiPriority w:val="99"/>
    <w:unhideWhenUsed/>
    <w:rsid w:val="0070589C"/>
    <w:pPr>
      <w:widowControl/>
      <w:autoSpaceDE/>
      <w:autoSpaceDN/>
      <w:adjustRightInd/>
      <w:spacing w:before="100" w:beforeAutospacing="1" w:after="100" w:afterAutospacing="1"/>
    </w:pPr>
    <w:rPr>
      <w:rFonts w:eastAsia="Times New Roman"/>
      <w:sz w:val="24"/>
      <w:szCs w:val="24"/>
    </w:rPr>
  </w:style>
  <w:style w:type="table" w:styleId="TableGrid">
    <w:name w:val="Table Grid"/>
    <w:basedOn w:val="TableNormal"/>
    <w:uiPriority w:val="39"/>
    <w:rsid w:val="0070589C"/>
    <w:rPr>
      <w:rFonts w:asciiTheme="minorHAnsi" w:hAnsiTheme="minorHAnsi" w:cstheme="minorBidi"/>
      <w:color w:val="auto"/>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70589C"/>
    <w:rPr>
      <w:i/>
      <w:iCs/>
    </w:rPr>
  </w:style>
  <w:style w:type="character" w:customStyle="1" w:styleId="image-caption">
    <w:name w:val="image-caption"/>
    <w:basedOn w:val="DefaultParagraphFont"/>
    <w:rsid w:val="0070589C"/>
  </w:style>
  <w:style w:type="character" w:customStyle="1" w:styleId="UnresolvedMention2">
    <w:name w:val="Unresolved Mention2"/>
    <w:basedOn w:val="DefaultParagraphFont"/>
    <w:uiPriority w:val="99"/>
    <w:semiHidden/>
    <w:unhideWhenUsed/>
    <w:rsid w:val="0070589C"/>
    <w:rPr>
      <w:color w:val="605E5C"/>
      <w:shd w:val="clear" w:color="auto" w:fill="E1DFDD"/>
    </w:rPr>
  </w:style>
  <w:style w:type="character" w:styleId="HTMLCite">
    <w:name w:val="HTML Cite"/>
    <w:basedOn w:val="DefaultParagraphFont"/>
    <w:uiPriority w:val="99"/>
    <w:semiHidden/>
    <w:unhideWhenUsed/>
    <w:rsid w:val="0070589C"/>
    <w:rPr>
      <w:i/>
      <w:iCs/>
    </w:rPr>
  </w:style>
  <w:style w:type="paragraph" w:styleId="HTMLPreformatted">
    <w:name w:val="HTML Preformatted"/>
    <w:basedOn w:val="Normal"/>
    <w:link w:val="HTMLPreformattedChar"/>
    <w:uiPriority w:val="99"/>
    <w:unhideWhenUsed/>
    <w:rsid w:val="007058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0589C"/>
    <w:rPr>
      <w:rFonts w:ascii="Courier New" w:eastAsia="Times New Roman" w:hAnsi="Courier New" w:cs="Courier New"/>
      <w:color w:val="auto"/>
      <w:sz w:val="20"/>
      <w:szCs w:val="20"/>
    </w:rPr>
  </w:style>
  <w:style w:type="character" w:styleId="UnresolvedMention">
    <w:name w:val="Unresolved Mention"/>
    <w:basedOn w:val="DefaultParagraphFont"/>
    <w:uiPriority w:val="99"/>
    <w:semiHidden/>
    <w:unhideWhenUsed/>
    <w:rsid w:val="003F0619"/>
    <w:rPr>
      <w:color w:val="605E5C"/>
      <w:shd w:val="clear" w:color="auto" w:fill="E1DFDD"/>
    </w:rPr>
  </w:style>
  <w:style w:type="character" w:customStyle="1" w:styleId="SC">
    <w:name w:val="SC"/>
    <w:uiPriority w:val="99"/>
    <w:rsid w:val="00E16010"/>
    <w:rPr>
      <w:rFonts w:ascii="MinionPro-Regular" w:hAnsi="MinionPro-Regular"/>
      <w:small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thisiszerohour.org/" TargetMode="External"/><Relationship Id="rId21" Type="http://schemas.openxmlformats.org/officeDocument/2006/relationships/hyperlink" Target="http://www.reginfo.gov" TargetMode="External"/><Relationship Id="rId42" Type="http://schemas.openxmlformats.org/officeDocument/2006/relationships/hyperlink" Target="https://lis.virginia.gov/cgi-bin/legp604.exe?201+sum+HB167" TargetMode="External"/><Relationship Id="rId47" Type="http://schemas.openxmlformats.org/officeDocument/2006/relationships/hyperlink" Target="https://www.youtube.com/watch?v=1Rz_TkpysKk" TargetMode="External"/><Relationship Id="rId63" Type="http://schemas.openxmlformats.org/officeDocument/2006/relationships/hyperlink" Target="https://www.prnewswire.com/news-releases/dominion-energy-and-duke-energy-cancel-the-atlantic-coast-pipeline-301088177.html" TargetMode="External"/><Relationship Id="rId68" Type="http://schemas.openxmlformats.org/officeDocument/2006/relationships/hyperlink" Target="https://www.youtube.com/watch?v=mKoppdJ6H4c" TargetMode="External"/><Relationship Id="rId84" Type="http://schemas.openxmlformats.org/officeDocument/2006/relationships/hyperlink" Target="https://onlinelibrary.wiley.com/doi/full/10.1002/pa.1876" TargetMode="External"/><Relationship Id="rId89" Type="http://schemas.openxmlformats.org/officeDocument/2006/relationships/fontTable" Target="fontTable.xml"/><Relationship Id="rId16" Type="http://schemas.openxmlformats.org/officeDocument/2006/relationships/header" Target="header4.xml"/><Relationship Id="rId11" Type="http://schemas.openxmlformats.org/officeDocument/2006/relationships/header" Target="header1.xml"/><Relationship Id="rId32" Type="http://schemas.openxmlformats.org/officeDocument/2006/relationships/hyperlink" Target="https://environmentaljusticebook.org/chapter-materials-chapter-8/" TargetMode="External"/><Relationship Id="rId37" Type="http://schemas.openxmlformats.org/officeDocument/2006/relationships/hyperlink" Target="https://www.washingtonpost.com/local/virginia-politics/us-supreme-court-to-decide-winner-in-case-of-gas-pipeline-vs-appalachian-trail/2020/02/23/d3ead098-5334-11ea-929a-64efa7482a77_story.html" TargetMode="External"/><Relationship Id="rId53" Type="http://schemas.openxmlformats.org/officeDocument/2006/relationships/hyperlink" Target="https://www.thenation.com/article/archive/arvin-california-oil-drilling-resistance/" TargetMode="External"/><Relationship Id="rId58" Type="http://schemas.microsoft.com/office/2011/relationships/commentsExtended" Target="commentsExtended.xml"/><Relationship Id="rId74" Type="http://schemas.openxmlformats.org/officeDocument/2006/relationships/hyperlink" Target="https://www.americanbar.org/groups/young_lawyers/about/initiatives/disaster-legal-services/" TargetMode="External"/><Relationship Id="rId79" Type="http://schemas.openxmlformats.org/officeDocument/2006/relationships/hyperlink" Target="https://www.unwater.org/water-facts/water-food-and-energy/" TargetMode="External"/><Relationship Id="rId5" Type="http://schemas.openxmlformats.org/officeDocument/2006/relationships/footnotes" Target="footnotes.xml"/><Relationship Id="rId90" Type="http://schemas.microsoft.com/office/2011/relationships/people" Target="people.xml"/><Relationship Id="rId14" Type="http://schemas.openxmlformats.org/officeDocument/2006/relationships/header" Target="header2.xml"/><Relationship Id="rId22" Type="http://schemas.openxmlformats.org/officeDocument/2006/relationships/hyperlink" Target="https://www.epa.gov/newsreleases/trump-epa-announces-next-steps-regulatory-pfoa-and-pfos-cleanup-efforts-provides" TargetMode="External"/><Relationship Id="rId27" Type="http://schemas.openxmlformats.org/officeDocument/2006/relationships/hyperlink" Target="https://www.epa.gov/sites/production/files/2016-01/documents/letter_to_governor_snyder_1-21-16.pdf" TargetMode="External"/><Relationship Id="rId30" Type="http://schemas.openxmlformats.org/officeDocument/2006/relationships/hyperlink" Target="http://www.environmentaljusticebook.org" TargetMode="External"/><Relationship Id="rId35" Type="http://schemas.openxmlformats.org/officeDocument/2006/relationships/hyperlink" Target="https://scholarship.law.umt.edu/cgi/viewcontent.cgi?article=1423&amp;context=plrlr" TargetMode="External"/><Relationship Id="rId43" Type="http://schemas.openxmlformats.org/officeDocument/2006/relationships/hyperlink" Target="https://www.virginiamercury.com/2020/04/20/the-atlantic-coast-pipeline-is-looking-like-a-riskier-investment-every-day/" TargetMode="External"/><Relationship Id="rId48" Type="http://schemas.openxmlformats.org/officeDocument/2006/relationships/hyperlink" Target="https://www.slc.ca.gov/envirojustice/" TargetMode="External"/><Relationship Id="rId56" Type="http://schemas.openxmlformats.org/officeDocument/2006/relationships/hyperlink" Target="https://communityactionworks.org/wp-content/uploads/SfA_Water_Quality_Guide.pdf" TargetMode="External"/><Relationship Id="rId64" Type="http://schemas.openxmlformats.org/officeDocument/2006/relationships/hyperlink" Target="https://www.theatlantic.com/photo/2014/12/bhopal-the-worlds-worst-industrial-disaster-30-years-later/100864/" TargetMode="External"/><Relationship Id="rId69" Type="http://schemas.openxmlformats.org/officeDocument/2006/relationships/hyperlink" Target="https://www.youtube.com/watch?v=0XDHMgqlcEU" TargetMode="External"/><Relationship Id="rId77" Type="http://schemas.openxmlformats.org/officeDocument/2006/relationships/hyperlink" Target="https://doi.org/10.2105/AJPH.2012.300865" TargetMode="External"/><Relationship Id="rId8" Type="http://schemas.openxmlformats.org/officeDocument/2006/relationships/hyperlink" Target="http://www.environmentaljusticebook.org" TargetMode="External"/><Relationship Id="rId51" Type="http://schemas.openxmlformats.org/officeDocument/2006/relationships/hyperlink" Target="https://abc7news.com/news/dueling-parties-debate-chevron-refinery-project-in-richmond/172800/" TargetMode="External"/><Relationship Id="rId72" Type="http://schemas.openxmlformats.org/officeDocument/2006/relationships/hyperlink" Target="https://www.youtube.com/watch?v=8Z24LCysq3A" TargetMode="External"/><Relationship Id="rId80" Type="http://schemas.openxmlformats.org/officeDocument/2006/relationships/hyperlink" Target="https://www.csis.org/analysis/climate-change-and-food-security-test-us-leadership-fragile-world" TargetMode="External"/><Relationship Id="rId85" Type="http://schemas.openxmlformats.org/officeDocument/2006/relationships/hyperlink" Target="https://www.soulfirefarm.org/" TargetMode="External"/><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yperlink" Target="https://www.slc.ca.gov/wp-content/uploads/2018/11/EJPolicy.pdf" TargetMode="External"/><Relationship Id="rId33" Type="http://schemas.openxmlformats.org/officeDocument/2006/relationships/hyperlink" Target="https://www.ienearth.org/energy-development-in-indian-country/" TargetMode="External"/><Relationship Id="rId38" Type="http://schemas.openxmlformats.org/officeDocument/2006/relationships/hyperlink" Target="https://www.supremecourt.gov/opinions/19pdf/18-1584_igdj.pdf" TargetMode="External"/><Relationship Id="rId46" Type="http://schemas.openxmlformats.org/officeDocument/2006/relationships/hyperlink" Target="https://www.youtube.com/watch?v=NTJb86vPxzY" TargetMode="External"/><Relationship Id="rId59" Type="http://schemas.microsoft.com/office/2016/09/relationships/commentsIds" Target="commentsIds.xml"/><Relationship Id="rId67" Type="http://schemas.openxmlformats.org/officeDocument/2006/relationships/hyperlink" Target="https://www.youtube.com/watch?v=cIG7vt1ZPKE" TargetMode="External"/><Relationship Id="rId20" Type="http://schemas.openxmlformats.org/officeDocument/2006/relationships/header" Target="header6.xml"/><Relationship Id="rId41" Type="http://schemas.openxmlformats.org/officeDocument/2006/relationships/hyperlink" Target="https://www.virginiamercury.com/2020/01/07/federal-court-overturns-union-hill-compressor-station-permit/" TargetMode="External"/><Relationship Id="rId54" Type="http://schemas.openxmlformats.org/officeDocument/2006/relationships/hyperlink" Target="https://www.nytimes.com/interactive/projects/toxic-waters//index.html" TargetMode="External"/><Relationship Id="rId62" Type="http://schemas.openxmlformats.org/officeDocument/2006/relationships/image" Target="media/image1.jpg"/><Relationship Id="rId70" Type="http://schemas.openxmlformats.org/officeDocument/2006/relationships/hyperlink" Target="https://www.ipcc.ch/site/assets/uploads/sites/2/2019/05/SR15_SPM_version_report_LR.pdf" TargetMode="External"/><Relationship Id="rId75" Type="http://schemas.openxmlformats.org/officeDocument/2006/relationships/hyperlink" Target="https://www.huffpost.com/entry/food-desert-problem-access-healthy-options_n_5d1b910ee4b082e55370dee5" TargetMode="External"/><Relationship Id="rId83" Type="http://schemas.openxmlformats.org/officeDocument/2006/relationships/hyperlink" Target="https://www.nationalgeographic.org/article/are-genetically-modified-crops-answer-world-hunger/" TargetMode="External"/><Relationship Id="rId88" Type="http://schemas.openxmlformats.org/officeDocument/2006/relationships/header" Target="header7.xm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3.xml"/><Relationship Id="rId23" Type="http://schemas.openxmlformats.org/officeDocument/2006/relationships/hyperlink" Target="https://www.calt.iastate.edu/article/update-right-farm-legislation-cases-and-constitutional-amendments" TargetMode="External"/><Relationship Id="rId28" Type="http://schemas.openxmlformats.org/officeDocument/2006/relationships/hyperlink" Target="http://flintwaterstudy.org/wp-content/uploads/2015/11/Miguels-Memo.pdf" TargetMode="External"/><Relationship Id="rId36" Type="http://schemas.openxmlformats.org/officeDocument/2006/relationships/hyperlink" Target="https://www.southernenvironment.org/news-and-press/press-releases/federal-court-throws-out-approval-of-acp-through-national-forests" TargetMode="External"/><Relationship Id="rId49" Type="http://schemas.openxmlformats.org/officeDocument/2006/relationships/hyperlink" Target="https://www.youtube.com/watch?v=zJX_MXaXbJA" TargetMode="External"/><Relationship Id="rId57" Type="http://schemas.openxmlformats.org/officeDocument/2006/relationships/comments" Target="comments.xml"/><Relationship Id="rId10" Type="http://schemas.openxmlformats.org/officeDocument/2006/relationships/hyperlink" Target="http://blogs.kentlaw.iit.edu/library/2017/11/legal-skills-workshop-effective-listening/" TargetMode="External"/><Relationship Id="rId31" Type="http://schemas.openxmlformats.org/officeDocument/2006/relationships/hyperlink" Target="https://www.kirtland.af.mil/Home/Environment/Bulk-Fuels-Facility/" TargetMode="External"/><Relationship Id="rId44" Type="http://schemas.openxmlformats.org/officeDocument/2006/relationships/hyperlink" Target="https://www.spglobal.com/marketintelligence/en/news-insights/videos/power-forecast-briefing-capacity-shortfalls-to-test-the-renewable-energy-transition" TargetMode="External"/><Relationship Id="rId52" Type="http://schemas.openxmlformats.org/officeDocument/2006/relationships/hyperlink" Target="https://www.ejnet.org/ej/cerrell.pdf" TargetMode="External"/><Relationship Id="rId60" Type="http://schemas.microsoft.com/office/2018/08/relationships/commentsExtensible" Target="commentsExtensible.xml"/><Relationship Id="rId65" Type="http://schemas.openxmlformats.org/officeDocument/2006/relationships/hyperlink" Target="https://www.epa.gov/sites/production/files/2016-11/documents/miller-travis_sri_tri_0930.pdf" TargetMode="External"/><Relationship Id="rId73" Type="http://schemas.openxmlformats.org/officeDocument/2006/relationships/hyperlink" Target="https://www.axios.com/2025/04/18/trump-national-emergency-declarations" TargetMode="External"/><Relationship Id="rId78" Type="http://schemas.openxmlformats.org/officeDocument/2006/relationships/hyperlink" Target="https://www.tolerance.org/lesson/food-deserts-causes-consequences-and-solutions" TargetMode="External"/><Relationship Id="rId81" Type="http://schemas.openxmlformats.org/officeDocument/2006/relationships/image" Target="media/image2.png"/><Relationship Id="rId86" Type="http://schemas.openxmlformats.org/officeDocument/2006/relationships/hyperlink" Target="https://www.youtube.com/watch?v=ydZfSuz-Hu8" TargetMode="External"/><Relationship Id="rId4" Type="http://schemas.openxmlformats.org/officeDocument/2006/relationships/webSettings" Target="webSettings.xml"/><Relationship Id="rId9" Type="http://schemas.openxmlformats.org/officeDocument/2006/relationships/hyperlink" Target="http://www.environmentaljusticebook.org" TargetMode="External"/><Relationship Id="rId13" Type="http://schemas.openxmlformats.org/officeDocument/2006/relationships/footer" Target="footer2.xml"/><Relationship Id="rId18" Type="http://schemas.openxmlformats.org/officeDocument/2006/relationships/footer" Target="footer4.xml"/><Relationship Id="rId39" Type="http://schemas.openxmlformats.org/officeDocument/2006/relationships/hyperlink" Target="https://twitter.com/WaterPotential/status/1263176703440031746" TargetMode="External"/><Relationship Id="rId34" Type="http://schemas.openxmlformats.org/officeDocument/2006/relationships/hyperlink" Target="https://www.narf.org/our-work/protection-tribal-natural-resources/" TargetMode="External"/><Relationship Id="rId50" Type="http://schemas.openxmlformats.org/officeDocument/2006/relationships/hyperlink" Target="https://calepa.ca.gov/envjustice/" TargetMode="External"/><Relationship Id="rId55" Type="http://schemas.openxmlformats.org/officeDocument/2006/relationships/hyperlink" Target="https://www.nytimes.com/2009/09/13/us/13water.html" TargetMode="External"/><Relationship Id="rId76" Type="http://schemas.openxmlformats.org/officeDocument/2006/relationships/hyperlink" Target="https://www.ers.usda.gov/data-products/food-access-research-atlas/" TargetMode="External"/><Relationship Id="rId7" Type="http://schemas.openxmlformats.org/officeDocument/2006/relationships/hyperlink" Target="http://www.environmentaljusticebook.org" TargetMode="External"/><Relationship Id="rId71" Type="http://schemas.openxmlformats.org/officeDocument/2006/relationships/hyperlink" Target="http://www.environmentaljusticebook.org" TargetMode="External"/><Relationship Id="rId2" Type="http://schemas.openxmlformats.org/officeDocument/2006/relationships/styles" Target="styles.xml"/><Relationship Id="rId29" Type="http://schemas.openxmlformats.org/officeDocument/2006/relationships/hyperlink" Target="http://flintwaterstudy.org/wp-content/uploads/2015/10/Virginia-Tech-FOIA-EPA.pdf" TargetMode="External"/><Relationship Id="rId24" Type="http://schemas.openxmlformats.org/officeDocument/2006/relationships/hyperlink" Target="https://www.epa.gov/ejscreen/how-does-epa-use-ejscreen" TargetMode="External"/><Relationship Id="rId40" Type="http://schemas.openxmlformats.org/officeDocument/2006/relationships/hyperlink" Target="https://www.eenews.net/stories/1061735585" TargetMode="External"/><Relationship Id="rId45" Type="http://schemas.openxmlformats.org/officeDocument/2006/relationships/hyperlink" Target="https://newrepublic.com/article/158179/atlantic-coast-pipeline-battle-people-not-precedent" TargetMode="External"/><Relationship Id="rId66" Type="http://schemas.openxmlformats.org/officeDocument/2006/relationships/hyperlink" Target="https://earthjustice.org/audio/ecology-without-equality" TargetMode="External"/><Relationship Id="rId87" Type="http://schemas.openxmlformats.org/officeDocument/2006/relationships/hyperlink" Target="https://www.youtube.com/watch?v=r0XG-ETx5fk" TargetMode="External"/><Relationship Id="rId61" Type="http://schemas.openxmlformats.org/officeDocument/2006/relationships/hyperlink" Target="https://www.youtube.com/watch?time_continue=99&amp;v=AeXvPalGEP4&amp;feature=emb_logo" TargetMode="External"/><Relationship Id="rId82" Type="http://schemas.openxmlformats.org/officeDocument/2006/relationships/hyperlink" Target="https://www.ipcc.ch/site/assets/uploads/2018/02/WGIIAR5-Chap7_FINAL.pdf" TargetMode="External"/><Relationship Id="rId19"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692</TotalTime>
  <Pages>157</Pages>
  <Words>74232</Words>
  <Characters>379331</Characters>
  <Application>Microsoft Office Word</Application>
  <DocSecurity>0</DocSecurity>
  <Lines>7294</Lines>
  <Paragraphs>1897</Paragraphs>
  <ScaleCrop>false</ScaleCrop>
  <Company/>
  <LinksUpToDate>false</LinksUpToDate>
  <CharactersWithSpaces>451666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Katrin Hyde</dc:creator>
  <cp:keywords/>
  <dc:description/>
  <cp:lastModifiedBy>Cliff Villa</cp:lastModifiedBy>
  <cp:revision>309</cp:revision>
  <dcterms:created xsi:type="dcterms:W3CDTF">2026-01-04T14:57:00Z</dcterms:created>
  <dcterms:modified xsi:type="dcterms:W3CDTF">2026-01-05T02:38:00Z</dcterms:modified>
</cp:coreProperties>
</file>